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A2B001">
      <w:pPr>
        <w:rPr>
          <w:rFonts w:ascii="Times New Roman" w:hAnsi="Times New Roman" w:eastAsia="方正仿宋_GBK"/>
          <w:b/>
          <w:bCs/>
          <w:sz w:val="24"/>
        </w:rPr>
      </w:pPr>
      <w:r>
        <w:rPr>
          <w:rFonts w:hint="eastAsia" w:ascii="Times New Roman" w:hAnsi="Times New Roman" w:eastAsia="方正仿宋_GBK"/>
          <w:b/>
          <w:bCs/>
          <w:sz w:val="24"/>
        </w:rPr>
        <w:t>附件：</w:t>
      </w:r>
    </w:p>
    <w:p w14:paraId="0C2D3CFF">
      <w:pPr>
        <w:jc w:val="center"/>
        <w:rPr>
          <w:rFonts w:hint="eastAsia" w:ascii="Times New Roman" w:hAnsi="Times New Roman" w:eastAsia="方正小标宋_GBK"/>
          <w:sz w:val="36"/>
          <w:szCs w:val="24"/>
        </w:rPr>
      </w:pPr>
      <w:r>
        <w:rPr>
          <w:rFonts w:hint="eastAsia" w:ascii="Times New Roman" w:hAnsi="Times New Roman" w:eastAsia="方正小标宋_GBK"/>
          <w:sz w:val="36"/>
          <w:szCs w:val="24"/>
        </w:rPr>
        <w:t>无锡市锡山区</w:t>
      </w:r>
      <w:r>
        <w:rPr>
          <w:rFonts w:hint="eastAsia" w:ascii="Times New Roman" w:hAnsi="Times New Roman" w:eastAsia="方正小标宋_GBK"/>
          <w:sz w:val="36"/>
          <w:szCs w:val="24"/>
          <w:lang w:eastAsia="zh-CN"/>
        </w:rPr>
        <w:t>2021-02-01</w:t>
      </w:r>
      <w:r>
        <w:rPr>
          <w:rFonts w:hint="eastAsia" w:ascii="Times New Roman" w:hAnsi="Times New Roman" w:eastAsia="方正小标宋_GBK"/>
          <w:sz w:val="36"/>
          <w:szCs w:val="24"/>
        </w:rPr>
        <w:t>号片区土地征收</w:t>
      </w:r>
    </w:p>
    <w:p w14:paraId="1E46C605">
      <w:pPr>
        <w:jc w:val="center"/>
        <w:rPr>
          <w:rFonts w:ascii="Times New Roman" w:hAnsi="Times New Roman" w:eastAsia="方正小标宋_GBK"/>
          <w:sz w:val="36"/>
          <w:szCs w:val="24"/>
        </w:rPr>
      </w:pPr>
      <w:r>
        <w:rPr>
          <w:rFonts w:hint="eastAsia" w:ascii="Times New Roman" w:hAnsi="Times New Roman" w:eastAsia="方正小标宋_GBK"/>
          <w:sz w:val="36"/>
          <w:szCs w:val="24"/>
        </w:rPr>
        <w:t>成片开发调整方案</w:t>
      </w:r>
    </w:p>
    <w:p w14:paraId="1C277560">
      <w:pPr>
        <w:jc w:val="center"/>
        <w:rPr>
          <w:rFonts w:ascii="Times New Roman" w:hAnsi="Times New Roman" w:eastAsia="方正小标宋_GBK"/>
          <w:sz w:val="36"/>
          <w:szCs w:val="24"/>
        </w:rPr>
      </w:pPr>
      <w:r>
        <w:rPr>
          <w:rFonts w:hint="eastAsia" w:ascii="Times New Roman" w:hAnsi="Times New Roman" w:eastAsia="方正小标宋_GBK"/>
          <w:sz w:val="36"/>
          <w:szCs w:val="24"/>
        </w:rPr>
        <w:t>（征求意见稿）</w:t>
      </w:r>
    </w:p>
    <w:p w14:paraId="30CEA943">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背景</w:t>
      </w:r>
    </w:p>
    <w:p w14:paraId="03402A76">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为贯彻落实《中华人民共和国土地管理法》和《自然资源部关于印发&lt;土地征收成片开发标准&gt;的通知》（自然资规〔2023〕7号）、《江苏省自然资源厅关于开展土地征收成片开发方案编制工作的通知》（苏自然资函〔2021〕15号）、《江苏省自然资源厅关于加快推进土地征收成片开发方案编制工作的通知》（苏自然资发〔2021〕138号）、《江苏省自然资源厅关于深入推进土地征收成片开发方案编制工作的通知》（苏自然资函〔2024〕939号）以及《无锡市自然资源和规划局关于规范做好土地征收成片开发方案审批工作的通知》（锡自然资规发〔2023〕120号）的有关要求，为保障锡山区第二、三产业项目用地需求，无锡市锡山区人民政府委托无锡市自然资源和规划局锡山分局组织编制了锡山区土地征收成片开发方案，将产业和经营性用地项目统筹纳入成片开发以破解锡山区第二、三产业项目用地涉及集体土地转征收保障难题。</w:t>
      </w:r>
    </w:p>
    <w:p w14:paraId="4FA9B068">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片区基本情况</w:t>
      </w:r>
    </w:p>
    <w:p w14:paraId="3BE160D2">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无锡市锡山区</w:t>
      </w:r>
      <w:r>
        <w:rPr>
          <w:rFonts w:hint="eastAsia" w:ascii="Times New Roman" w:hAnsi="Times New Roman" w:eastAsia="仿宋_GB2312"/>
          <w:sz w:val="24"/>
          <w:lang w:eastAsia="zh-CN"/>
        </w:rPr>
        <w:t>2021-02-01</w:t>
      </w:r>
      <w:r>
        <w:rPr>
          <w:rFonts w:hint="eastAsia" w:ascii="Times New Roman" w:hAnsi="Times New Roman" w:eastAsia="仿宋_GB2312"/>
          <w:sz w:val="24"/>
        </w:rPr>
        <w:t>号片区土地征收成片开发调整方案共包括1个片区，位于</w:t>
      </w:r>
      <w:r>
        <w:rPr>
          <w:rFonts w:hint="eastAsia" w:ascii="Times New Roman" w:hAnsi="Times New Roman" w:eastAsia="仿宋_GB2312"/>
          <w:sz w:val="24"/>
          <w:lang w:eastAsia="zh-CN"/>
        </w:rPr>
        <w:t>东北塘街道</w:t>
      </w:r>
      <w:r>
        <w:rPr>
          <w:rFonts w:hint="eastAsia" w:ascii="Times New Roman" w:hAnsi="Times New Roman" w:eastAsia="仿宋_GB2312"/>
          <w:sz w:val="24"/>
        </w:rPr>
        <w:t>，片区总面积</w:t>
      </w:r>
      <w:r>
        <w:rPr>
          <w:rFonts w:hint="eastAsia" w:ascii="Times New Roman" w:hAnsi="Times New Roman" w:eastAsia="仿宋_GB2312"/>
          <w:sz w:val="24"/>
          <w:lang w:eastAsia="zh-CN"/>
        </w:rPr>
        <w:t>94.6871</w:t>
      </w:r>
      <w:r>
        <w:rPr>
          <w:rFonts w:hint="eastAsia" w:ascii="Times New Roman" w:hAnsi="Times New Roman" w:eastAsia="仿宋_GB2312"/>
          <w:sz w:val="24"/>
        </w:rPr>
        <w:t>公顷（片区范围和面积以最终批复为准），片区布局集中连片，形态相对完整，具备成片开发条件。开发片区基本情况如下表：</w:t>
      </w:r>
    </w:p>
    <w:p w14:paraId="504C3D5E">
      <w:pPr>
        <w:spacing w:line="360" w:lineRule="auto"/>
        <w:jc w:val="center"/>
        <w:rPr>
          <w:rFonts w:ascii="Times New Roman" w:hAnsi="Times New Roman" w:eastAsia="仿宋_GB2312"/>
          <w:sz w:val="24"/>
        </w:rPr>
      </w:pPr>
      <w:r>
        <w:rPr>
          <w:rFonts w:hint="eastAsia" w:ascii="Times New Roman" w:hAnsi="Times New Roman" w:eastAsia="仿宋_GB2312"/>
          <w:sz w:val="24"/>
        </w:rPr>
        <w:t>表1</w:t>
      </w:r>
      <w:r>
        <w:rPr>
          <w:rFonts w:ascii="Times New Roman" w:hAnsi="Times New Roman" w:eastAsia="仿宋_GB2312"/>
          <w:sz w:val="24"/>
        </w:rPr>
        <w:t xml:space="preserve"> </w:t>
      </w:r>
      <w:r>
        <w:rPr>
          <w:rFonts w:hint="eastAsia" w:ascii="Times New Roman" w:hAnsi="Times New Roman" w:eastAsia="仿宋_GB2312"/>
          <w:sz w:val="24"/>
        </w:rPr>
        <w:t>开发片区基本情况表</w:t>
      </w:r>
    </w:p>
    <w:p w14:paraId="17DB1A44">
      <w:pPr>
        <w:spacing w:line="360" w:lineRule="auto"/>
        <w:jc w:val="right"/>
        <w:rPr>
          <w:rFonts w:ascii="Times New Roman" w:hAnsi="Times New Roman" w:eastAsia="仿宋_GB2312"/>
          <w:sz w:val="24"/>
        </w:rPr>
      </w:pPr>
      <w:r>
        <w:rPr>
          <w:rFonts w:hint="eastAsia" w:ascii="Times New Roman" w:hAnsi="Times New Roman" w:eastAsia="仿宋_GB2312"/>
          <w:sz w:val="24"/>
        </w:rPr>
        <w:t>单位：公顷</w:t>
      </w:r>
    </w:p>
    <w:tbl>
      <w:tblPr>
        <w:tblStyle w:val="7"/>
        <w:tblW w:w="51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301"/>
        <w:gridCol w:w="1399"/>
        <w:gridCol w:w="2417"/>
        <w:gridCol w:w="1911"/>
      </w:tblGrid>
      <w:tr w14:paraId="4857C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pct"/>
            <w:vAlign w:val="center"/>
          </w:tcPr>
          <w:p w14:paraId="4B8B5162">
            <w:pPr>
              <w:jc w:val="center"/>
              <w:rPr>
                <w:rFonts w:ascii="Times New Roman" w:hAnsi="Times New Roman" w:eastAsia="仿宋_GB2312"/>
                <w:sz w:val="18"/>
                <w:szCs w:val="16"/>
              </w:rPr>
            </w:pPr>
            <w:r>
              <w:rPr>
                <w:rFonts w:hint="eastAsia" w:ascii="Times New Roman" w:hAnsi="Times New Roman" w:eastAsia="仿宋_GB2312"/>
                <w:sz w:val="18"/>
                <w:szCs w:val="16"/>
              </w:rPr>
              <w:t>片区名称</w:t>
            </w:r>
          </w:p>
        </w:tc>
        <w:tc>
          <w:tcPr>
            <w:tcW w:w="745" w:type="pct"/>
            <w:vAlign w:val="center"/>
          </w:tcPr>
          <w:p w14:paraId="3ABDFCA9">
            <w:pPr>
              <w:jc w:val="center"/>
              <w:rPr>
                <w:rFonts w:ascii="Times New Roman" w:hAnsi="Times New Roman" w:eastAsia="仿宋_GB2312"/>
                <w:sz w:val="18"/>
                <w:szCs w:val="16"/>
              </w:rPr>
            </w:pPr>
            <w:r>
              <w:rPr>
                <w:rFonts w:hint="eastAsia" w:ascii="Times New Roman" w:hAnsi="Times New Roman" w:eastAsia="仿宋_GB2312"/>
                <w:sz w:val="18"/>
                <w:szCs w:val="16"/>
              </w:rPr>
              <w:t>片区面积</w:t>
            </w:r>
          </w:p>
        </w:tc>
        <w:tc>
          <w:tcPr>
            <w:tcW w:w="801" w:type="pct"/>
            <w:vAlign w:val="center"/>
          </w:tcPr>
          <w:p w14:paraId="2592B3FE">
            <w:pPr>
              <w:jc w:val="center"/>
              <w:rPr>
                <w:rFonts w:ascii="Times New Roman" w:hAnsi="Times New Roman" w:eastAsia="仿宋_GB2312"/>
                <w:sz w:val="18"/>
                <w:szCs w:val="16"/>
              </w:rPr>
            </w:pPr>
            <w:r>
              <w:rPr>
                <w:rFonts w:hint="eastAsia" w:ascii="Times New Roman" w:hAnsi="Times New Roman" w:eastAsia="仿宋_GB2312"/>
                <w:sz w:val="18"/>
                <w:szCs w:val="16"/>
              </w:rPr>
              <w:t>所在乡镇</w:t>
            </w:r>
          </w:p>
        </w:tc>
        <w:tc>
          <w:tcPr>
            <w:tcW w:w="1384" w:type="pct"/>
            <w:vAlign w:val="center"/>
          </w:tcPr>
          <w:p w14:paraId="080FCD86">
            <w:pPr>
              <w:jc w:val="center"/>
              <w:rPr>
                <w:rFonts w:ascii="Times New Roman" w:hAnsi="Times New Roman" w:eastAsia="仿宋_GB2312"/>
                <w:sz w:val="18"/>
                <w:szCs w:val="16"/>
              </w:rPr>
            </w:pPr>
            <w:r>
              <w:rPr>
                <w:rFonts w:hint="eastAsia" w:ascii="Times New Roman" w:hAnsi="Times New Roman" w:eastAsia="仿宋_GB2312"/>
                <w:sz w:val="18"/>
                <w:szCs w:val="16"/>
              </w:rPr>
              <w:t>四至范围</w:t>
            </w:r>
          </w:p>
        </w:tc>
        <w:tc>
          <w:tcPr>
            <w:tcW w:w="1094" w:type="pct"/>
            <w:vAlign w:val="center"/>
          </w:tcPr>
          <w:p w14:paraId="614C54A3">
            <w:pPr>
              <w:jc w:val="center"/>
              <w:rPr>
                <w:rFonts w:ascii="Times New Roman" w:hAnsi="Times New Roman" w:eastAsia="仿宋_GB2312"/>
                <w:sz w:val="18"/>
                <w:szCs w:val="16"/>
              </w:rPr>
            </w:pPr>
            <w:r>
              <w:rPr>
                <w:rFonts w:hint="eastAsia" w:ascii="Times New Roman" w:hAnsi="Times New Roman" w:eastAsia="仿宋_GB2312"/>
                <w:sz w:val="18"/>
                <w:szCs w:val="16"/>
              </w:rPr>
              <w:t>功能定位和主要用途</w:t>
            </w:r>
          </w:p>
        </w:tc>
      </w:tr>
      <w:tr w14:paraId="153E3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pct"/>
            <w:vAlign w:val="center"/>
          </w:tcPr>
          <w:p w14:paraId="6B29C8DA">
            <w:pPr>
              <w:jc w:val="center"/>
              <w:rPr>
                <w:rFonts w:hint="eastAsia" w:ascii="Times New Roman" w:hAnsi="Times New Roman" w:eastAsia="仿宋_GB2312"/>
                <w:sz w:val="18"/>
                <w:szCs w:val="16"/>
                <w:lang w:eastAsia="zh-CN"/>
              </w:rPr>
            </w:pPr>
            <w:r>
              <w:rPr>
                <w:rFonts w:hint="eastAsia" w:ascii="Times New Roman" w:hAnsi="Times New Roman" w:eastAsia="仿宋_GB2312"/>
                <w:sz w:val="18"/>
                <w:szCs w:val="16"/>
                <w:lang w:eastAsia="zh-CN"/>
              </w:rPr>
              <w:t>东北塘1号片区</w:t>
            </w:r>
          </w:p>
        </w:tc>
        <w:tc>
          <w:tcPr>
            <w:tcW w:w="745" w:type="pct"/>
            <w:vAlign w:val="center"/>
          </w:tcPr>
          <w:p w14:paraId="3D0B361A">
            <w:pPr>
              <w:jc w:val="center"/>
              <w:rPr>
                <w:rFonts w:hint="eastAsia" w:ascii="Times New Roman" w:hAnsi="Times New Roman" w:eastAsia="仿宋_GB2312"/>
                <w:sz w:val="18"/>
                <w:szCs w:val="16"/>
                <w:lang w:eastAsia="zh-CN"/>
              </w:rPr>
            </w:pPr>
            <w:r>
              <w:rPr>
                <w:rFonts w:hint="eastAsia" w:ascii="Times New Roman" w:hAnsi="Times New Roman" w:eastAsia="仿宋_GB2312"/>
                <w:sz w:val="18"/>
                <w:szCs w:val="16"/>
                <w:lang w:eastAsia="zh-CN"/>
              </w:rPr>
              <w:t>94.6871</w:t>
            </w:r>
          </w:p>
        </w:tc>
        <w:tc>
          <w:tcPr>
            <w:tcW w:w="801" w:type="pct"/>
            <w:vAlign w:val="center"/>
          </w:tcPr>
          <w:p w14:paraId="7227544A">
            <w:pPr>
              <w:jc w:val="center"/>
              <w:rPr>
                <w:rFonts w:hint="eastAsia" w:ascii="Times New Roman" w:hAnsi="Times New Roman" w:eastAsia="仿宋_GB2312"/>
                <w:sz w:val="18"/>
                <w:szCs w:val="16"/>
                <w:lang w:eastAsia="zh-CN"/>
              </w:rPr>
            </w:pPr>
            <w:r>
              <w:rPr>
                <w:rFonts w:hint="eastAsia" w:ascii="Times New Roman" w:hAnsi="Times New Roman" w:eastAsia="仿宋_GB2312"/>
                <w:sz w:val="18"/>
                <w:szCs w:val="16"/>
                <w:lang w:eastAsia="zh-CN"/>
              </w:rPr>
              <w:t>东北塘街道</w:t>
            </w:r>
          </w:p>
        </w:tc>
        <w:tc>
          <w:tcPr>
            <w:tcW w:w="1384" w:type="pct"/>
            <w:vAlign w:val="center"/>
          </w:tcPr>
          <w:p w14:paraId="69D99AB5">
            <w:pPr>
              <w:rPr>
                <w:rFonts w:ascii="Times New Roman" w:hAnsi="Times New Roman" w:eastAsia="仿宋_GB2312"/>
                <w:sz w:val="18"/>
                <w:szCs w:val="16"/>
              </w:rPr>
            </w:pPr>
            <w:r>
              <w:rPr>
                <w:rFonts w:hint="eastAsia" w:ascii="Times New Roman" w:hAnsi="Times New Roman" w:eastAsia="仿宋_GB2312"/>
                <w:sz w:val="18"/>
                <w:szCs w:val="16"/>
              </w:rPr>
              <w:t>东至石新路，南至锡港路，西至心白荡，北至东鹏路。</w:t>
            </w:r>
          </w:p>
        </w:tc>
        <w:tc>
          <w:tcPr>
            <w:tcW w:w="1094" w:type="pct"/>
            <w:vAlign w:val="center"/>
          </w:tcPr>
          <w:p w14:paraId="5C110D76">
            <w:pPr>
              <w:jc w:val="center"/>
              <w:rPr>
                <w:rFonts w:ascii="Times New Roman" w:hAnsi="Times New Roman" w:eastAsia="仿宋_GB2312"/>
                <w:sz w:val="18"/>
                <w:szCs w:val="16"/>
              </w:rPr>
            </w:pPr>
            <w:r>
              <w:rPr>
                <w:rFonts w:hint="eastAsia" w:ascii="Times New Roman" w:hAnsi="Times New Roman" w:eastAsia="仿宋_GB2312"/>
                <w:sz w:val="18"/>
                <w:szCs w:val="16"/>
              </w:rPr>
              <w:t>产城融合类</w:t>
            </w:r>
          </w:p>
        </w:tc>
      </w:tr>
    </w:tbl>
    <w:p w14:paraId="0FC7B5CD">
      <w:pPr>
        <w:spacing w:line="360" w:lineRule="auto"/>
        <w:jc w:val="center"/>
        <w:rPr>
          <w:rFonts w:ascii="Times New Roman" w:hAnsi="Times New Roman" w:eastAsia="仿宋_GB2312"/>
          <w:sz w:val="24"/>
        </w:rPr>
      </w:pPr>
      <w:r>
        <w:rPr>
          <w:rFonts w:ascii="Times New Roman" w:hAnsi="Times New Roman" w:eastAsia="仿宋_GB2312"/>
          <w:sz w:val="24"/>
        </w:rPr>
        <w:drawing>
          <wp:inline distT="0" distB="0" distL="0" distR="0">
            <wp:extent cx="5274310" cy="3728720"/>
            <wp:effectExtent l="0" t="0" r="13970" b="5080"/>
            <wp:docPr id="1578323339" name="图片 1" descr="E:/2025年度/01成片开发/03东北塘调整方案/0615征求意见/成片开发.jpg成片开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323339" name="图片 1" descr="E:/2025年度/01成片开发/03东北塘调整方案/0615征求意见/成片开发.jpg成片开发"/>
                    <pic:cNvPicPr>
                      <a:picLocks noChangeAspect="1"/>
                    </pic:cNvPicPr>
                  </pic:nvPicPr>
                  <pic:blipFill>
                    <a:blip r:embed="rId4"/>
                    <a:srcRect t="12" b="12"/>
                    <a:stretch>
                      <a:fillRect/>
                    </a:stretch>
                  </pic:blipFill>
                  <pic:spPr>
                    <a:xfrm>
                      <a:off x="0" y="0"/>
                      <a:ext cx="5274310" cy="3728720"/>
                    </a:xfrm>
                    <a:prstGeom prst="rect">
                      <a:avLst/>
                    </a:prstGeom>
                  </pic:spPr>
                </pic:pic>
              </a:graphicData>
            </a:graphic>
          </wp:inline>
        </w:drawing>
      </w:r>
    </w:p>
    <w:p w14:paraId="7B963137">
      <w:pPr>
        <w:spacing w:line="360" w:lineRule="auto"/>
        <w:jc w:val="center"/>
        <w:rPr>
          <w:rFonts w:ascii="Times New Roman" w:hAnsi="Times New Roman" w:eastAsia="仿宋_GB2312"/>
          <w:sz w:val="24"/>
        </w:rPr>
      </w:pPr>
      <w:r>
        <w:rPr>
          <w:rFonts w:hint="eastAsia" w:ascii="Times New Roman" w:hAnsi="Times New Roman" w:eastAsia="仿宋_GB2312"/>
          <w:sz w:val="24"/>
        </w:rPr>
        <w:t>图1</w:t>
      </w:r>
      <w:r>
        <w:rPr>
          <w:rFonts w:ascii="Times New Roman" w:hAnsi="Times New Roman" w:eastAsia="仿宋_GB2312"/>
          <w:sz w:val="24"/>
        </w:rPr>
        <w:t xml:space="preserve"> </w:t>
      </w:r>
      <w:r>
        <w:rPr>
          <w:rFonts w:hint="eastAsia" w:ascii="Times New Roman" w:hAnsi="Times New Roman" w:eastAsia="仿宋_GB2312"/>
          <w:sz w:val="24"/>
        </w:rPr>
        <w:t>片区范围示意图</w:t>
      </w:r>
    </w:p>
    <w:p w14:paraId="4BEB1094">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成片开发的必要性</w:t>
      </w:r>
    </w:p>
    <w:p w14:paraId="13E7D283">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rPr>
        <w:t>根据《中华人民共和国土地管理法</w:t>
      </w:r>
      <w:bookmarkStart w:id="0" w:name="_GoBack"/>
      <w:r>
        <w:rPr>
          <w:rFonts w:hint="eastAsia" w:ascii="Times New Roman" w:hAnsi="Times New Roman" w:eastAsia="仿宋_GB2312"/>
          <w:sz w:val="24"/>
        </w:rPr>
        <w:t>》、《</w:t>
      </w:r>
      <w:bookmarkEnd w:id="0"/>
      <w:r>
        <w:rPr>
          <w:rFonts w:hint="eastAsia" w:ascii="Times New Roman" w:hAnsi="Times New Roman" w:eastAsia="仿宋_GB2312"/>
          <w:sz w:val="24"/>
        </w:rPr>
        <w:t>自然资源部关于印发&lt;土地征收成片开发标准（试行）&gt;的通知》（自然资规〔2020〕5号）、《江苏省自然资源厅关于开展土地征收成片开发方案编制工作的通知》（苏自然资函〔2021〕15号）等文件要求，结合</w:t>
      </w:r>
      <w:r>
        <w:rPr>
          <w:rFonts w:hint="eastAsia" w:ascii="Times New Roman" w:hAnsi="Times New Roman" w:eastAsia="仿宋_GB2312"/>
          <w:sz w:val="24"/>
          <w:lang w:eastAsia="zh-CN"/>
        </w:rPr>
        <w:t>东北塘街道</w:t>
      </w:r>
      <w:r>
        <w:rPr>
          <w:rFonts w:hint="eastAsia" w:ascii="Times New Roman" w:hAnsi="Times New Roman" w:eastAsia="仿宋_GB2312"/>
          <w:sz w:val="24"/>
        </w:rPr>
        <w:t>用地需求，锡山区人民政府委托无锡市自然资源和规划局锡山分局组织编制了《无锡市锡山区2021-02号土地征收成片开发方案》，并于2021年12月取得《江苏省自然资源厅关于批准无锡市滨湖区2021-02号等2个土地征收成片开发方案的函》（苏自然资函〔2021〕1483 号）。方案批复后，片区内部分地块已征收完毕，正在有序建设中。根据《自然资源部关于印发〈土地征收成片开发标准〉的通知》（自然资规〔2023〕7号）、《江苏省自然资源厅关于深入推进土地征收成片开发方案编制工作的通知》（苏自然资函〔2024〕939号）以及刚批复的无锡市锡山区国土空间总体规划（2021—2035 年），为衔接各项政策要求，需要对《无锡市锡山区2021-02号土地征收成片开发方案》中的</w:t>
      </w:r>
      <w:r>
        <w:rPr>
          <w:rFonts w:hint="eastAsia" w:ascii="Times New Roman" w:hAnsi="Times New Roman" w:eastAsia="仿宋_GB2312"/>
          <w:sz w:val="24"/>
          <w:lang w:eastAsia="zh-CN"/>
        </w:rPr>
        <w:t>东北塘1号片区</w:t>
      </w:r>
      <w:r>
        <w:rPr>
          <w:rFonts w:hint="eastAsia" w:ascii="Times New Roman" w:hAnsi="Times New Roman" w:eastAsia="仿宋_GB2312"/>
          <w:sz w:val="24"/>
        </w:rPr>
        <w:t>（CP320205-</w:t>
      </w:r>
      <w:r>
        <w:rPr>
          <w:rFonts w:hint="eastAsia" w:ascii="Times New Roman" w:hAnsi="Times New Roman" w:eastAsia="仿宋_GB2312"/>
          <w:sz w:val="24"/>
          <w:lang w:eastAsia="zh-CN"/>
        </w:rPr>
        <w:t>2021-02-01</w:t>
      </w:r>
      <w:r>
        <w:rPr>
          <w:rFonts w:hint="eastAsia" w:ascii="Times New Roman" w:hAnsi="Times New Roman" w:eastAsia="仿宋_GB2312"/>
          <w:sz w:val="24"/>
        </w:rPr>
        <w:t>）进行方案调整，以此来解决局部征地问题，</w:t>
      </w:r>
      <w:r>
        <w:rPr>
          <w:rFonts w:hint="eastAsia" w:ascii="Times New Roman" w:hAnsi="Times New Roman" w:eastAsia="仿宋_GB2312"/>
          <w:sz w:val="24"/>
          <w:highlight w:val="none"/>
        </w:rPr>
        <w:t>从而有利于承接产业升级需求，吸引优质项目落地，增强区域经济活力</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同时统筹居住、生态与公共服务配套，解决职住平衡问题，提升人居环境，实现生产、生活、生态协同发展，为新型城镇化与可持续发展提供支撑。</w:t>
      </w:r>
    </w:p>
    <w:p w14:paraId="3F83AFC6">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开发实施计划</w:t>
      </w:r>
    </w:p>
    <w:p w14:paraId="39FB2402">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无锡市锡山区</w:t>
      </w:r>
      <w:r>
        <w:rPr>
          <w:rFonts w:hint="eastAsia" w:ascii="Times New Roman" w:hAnsi="Times New Roman" w:eastAsia="仿宋_GB2312"/>
          <w:sz w:val="24"/>
          <w:lang w:eastAsia="zh-CN"/>
        </w:rPr>
        <w:t>2021-02-01</w:t>
      </w:r>
      <w:r>
        <w:rPr>
          <w:rFonts w:hint="eastAsia" w:ascii="Times New Roman" w:hAnsi="Times New Roman" w:eastAsia="仿宋_GB2312"/>
          <w:sz w:val="24"/>
        </w:rPr>
        <w:t>号片区土地征收成片开发调整方案计划在获取批复后分批次启动土地征收工作，成片开发范围内拟建设项目有工业用地</w:t>
      </w:r>
      <w:r>
        <w:rPr>
          <w:rFonts w:hint="eastAsia" w:ascii="Times New Roman" w:hAnsi="Times New Roman" w:eastAsia="仿宋_GB2312"/>
          <w:sz w:val="24"/>
          <w:lang w:eastAsia="zh-CN"/>
        </w:rPr>
        <w:t>、</w:t>
      </w:r>
      <w:r>
        <w:rPr>
          <w:rFonts w:hint="eastAsia" w:ascii="Times New Roman" w:hAnsi="Times New Roman" w:eastAsia="仿宋_GB2312"/>
          <w:sz w:val="24"/>
          <w:lang w:val="en-US" w:eastAsia="zh-CN"/>
        </w:rPr>
        <w:t>居住用地</w:t>
      </w:r>
      <w:r>
        <w:rPr>
          <w:rFonts w:hint="eastAsia" w:ascii="Times New Roman" w:hAnsi="Times New Roman" w:eastAsia="仿宋_GB2312"/>
          <w:sz w:val="24"/>
        </w:rPr>
        <w:t>及配套建设基础设施类项目。</w:t>
      </w:r>
    </w:p>
    <w:p w14:paraId="72A13BD6">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规划、计划符合情况</w:t>
      </w:r>
    </w:p>
    <w:p w14:paraId="2E817C2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1、符合国民经济和社会发展规划、年度计划</w:t>
      </w:r>
    </w:p>
    <w:p w14:paraId="38849DF0">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本次方案符合无锡市锡山区国民经济和社会发展规划、年度计划。</w:t>
      </w:r>
    </w:p>
    <w:p w14:paraId="52ABDBC0">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2、符合相关红线管控要求</w:t>
      </w:r>
    </w:p>
    <w:p w14:paraId="261A2D3E">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本次方案与《无锡市锡山区国土空间总体规划（2021—2035年）》进行了充分衔接，未涉及锡山区永久基本农田和生态保护红线。</w:t>
      </w:r>
    </w:p>
    <w:p w14:paraId="55466ADB">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本次方案土地征收成片开发内容符合《江苏省生态空间管控区域规划》和《江苏省“三线一单”生态环境分区》的要求，开发片区未涉及江苏省生态空间管控区域。</w:t>
      </w:r>
    </w:p>
    <w:p w14:paraId="097E2A6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3、符合城镇开发边界管控要求</w:t>
      </w:r>
    </w:p>
    <w:p w14:paraId="482D78E6">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本次方案与《无锡市锡山区国土空间总体规划（2021—2035年）》进行了充分衔接，片区位于划定的城镇开发边界范围内。</w:t>
      </w:r>
    </w:p>
    <w:p w14:paraId="1383F456">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4、与控制性详细规划衔接情况</w:t>
      </w:r>
    </w:p>
    <w:p w14:paraId="4841467B">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的土地征收成片开发范围布局在锡山区控制性详细规划单元内，符合城市、街镇规划发展方向，成片开发片区内规划建设项目类型也与所在单元控制性详细规划中的地块规划用途一致，符合所在区域功能定位。</w:t>
      </w:r>
    </w:p>
    <w:p w14:paraId="0B39C23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5、与其他规划的衔接</w:t>
      </w:r>
    </w:p>
    <w:p w14:paraId="41DC702D">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根据《江苏省湿地保护条例（2024年修订）》《江苏省湖泊保护条例》《江苏省水域保护办法》《江苏省湖泊保护名录（2021修编）》《江苏省骨干河道名录（2018年修订）》，项目建设将综合考虑城市防洪要求，做到不损害河道功能和影响河道安全，不填堵、覆盖河道。若成片开发范围内确需利用水域岸线的，将按照相关水法规要求，开展科学论证，依法履行相关审批和许可手续，确保“水域面积不减少、水域功能不衰退”。</w:t>
      </w:r>
    </w:p>
    <w:p w14:paraId="40C8510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片区不涉及占用“十二五”以来高标准农田上图入库成果，不涉及占用“两区”划定的粮食生产功能区和重要农产品生产保护区。</w:t>
      </w:r>
    </w:p>
    <w:p w14:paraId="5FD95BD9">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片区不涉及各级各类自然保护地。</w:t>
      </w:r>
    </w:p>
    <w:p w14:paraId="30A579A9">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效益评价</w:t>
      </w:r>
    </w:p>
    <w:p w14:paraId="57391C7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1、经济效益</w:t>
      </w:r>
    </w:p>
    <w:p w14:paraId="4505D36D">
      <w:pPr>
        <w:spacing w:line="360" w:lineRule="auto"/>
        <w:ind w:firstLine="480" w:firstLineChars="200"/>
        <w:rPr>
          <w:rFonts w:ascii="Times New Roman" w:hAnsi="Times New Roman" w:eastAsia="仿宋_GB2312"/>
          <w:sz w:val="24"/>
          <w:highlight w:val="yellow"/>
        </w:rPr>
      </w:pPr>
      <w:r>
        <w:rPr>
          <w:rFonts w:hint="eastAsia" w:ascii="Times New Roman" w:hAnsi="Times New Roman" w:eastAsia="仿宋_GB2312"/>
          <w:sz w:val="24"/>
        </w:rPr>
        <w:t>片区开发具有一定的经济效益。</w:t>
      </w:r>
      <w:r>
        <w:rPr>
          <w:rFonts w:hint="eastAsia" w:ascii="Times New Roman" w:hAnsi="Times New Roman" w:eastAsia="仿宋_GB2312"/>
          <w:sz w:val="24"/>
          <w:highlight w:val="none"/>
          <w:lang w:val="en-US" w:eastAsia="zh-CN"/>
        </w:rPr>
        <w:t>产业集聚效应吸引上下游企业入驻，形成规模经济，降低企业运营成本并提升区域竞争力。土地增值带动投资增长，增加地方财政收入。就业岗位的规模化创造促进居民收入增长，拉动消费需求。</w:t>
      </w:r>
    </w:p>
    <w:p w14:paraId="0B8CE068">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2、社会效益</w:t>
      </w:r>
    </w:p>
    <w:p w14:paraId="3689A729">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片区开发具有一定的社会效益。</w:t>
      </w:r>
      <w:r>
        <w:rPr>
          <w:rFonts w:hint="eastAsia" w:ascii="Times New Roman" w:hAnsi="Times New Roman" w:eastAsia="仿宋_GB2312"/>
          <w:sz w:val="24"/>
          <w:highlight w:val="none"/>
          <w:lang w:val="en-US" w:eastAsia="zh-CN"/>
        </w:rPr>
        <w:t>片区为产城融合类片区，减少长距离通勤，缓解交通压力，提升居民幸福感。多元产业生态提供多层次就业机会，促进社会阶层流动和人才聚集，增强城市活力。此外，通过完善教育、医疗、文化等设施，增强社会凝聚力，推动城乡一体化发展，助力共同富裕目标实现。</w:t>
      </w:r>
    </w:p>
    <w:p w14:paraId="59DE9E45">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3、生态效益</w:t>
      </w:r>
    </w:p>
    <w:p w14:paraId="4C6A96C1">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片区开发具有一定的生态效益。</w:t>
      </w:r>
      <w:r>
        <w:rPr>
          <w:rFonts w:hint="eastAsia" w:ascii="Times New Roman" w:hAnsi="Times New Roman" w:eastAsia="仿宋_GB2312"/>
          <w:sz w:val="24"/>
          <w:highlight w:val="none"/>
          <w:lang w:val="en-US" w:eastAsia="zh-CN"/>
        </w:rPr>
        <w:t>通过科学规划降低开发强度，保留生态廊道和绿地系统，维护生物多样性。产业与城市功能混合布局减少能源消耗与碳排放，推广绿色建筑和清洁能源应用，提升资源循环利用效率。</w:t>
      </w:r>
    </w:p>
    <w:p w14:paraId="30265437">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征地农民利益保障</w:t>
      </w:r>
    </w:p>
    <w:p w14:paraId="49797D40">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依据《省政府关于印发江苏省被征地农民社会保障办法的通知》（苏政发〔2021〕87号）要求，征地后，将被征地农民全部纳入城乡社会保障体系。此外，依据《省政府关于印发江苏省被征地农民社会保障办法的通知》（苏政发〔2021〕87号）及《省人力资源社会保障厅 省财政厅 省自然资源厅 省农业农村厅关于贯彻落实江苏省被征地农民社会保障办法的通知》（苏人社函〔2022〕85号）文件精神，完善被征地农民基本生活保障制度和被征地农民社会保障制度依据，落实社会保障费用、明确社会保障方式、加强资金管理，并且制定本地化实施办法，于征地前依法确定安置人员和保障对象名单、完善征地补偿安置协议、规范社会保障落实情况审核，通过部门联动的工作机制，提升经办服务能力及风险管控能力，做好征地报批新老政策的衔接工作。遵循先筹后征，分类施保，确保被征地农民原有生活水平不降低，长远生计有保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B609EA"/>
    <w:multiLevelType w:val="multilevel"/>
    <w:tmpl w:val="2FB609EA"/>
    <w:lvl w:ilvl="0" w:tentative="0">
      <w:start w:val="1"/>
      <w:numFmt w:val="japaneseCounting"/>
      <w:lvlText w:val="%1、"/>
      <w:lvlJc w:val="left"/>
      <w:pPr>
        <w:ind w:left="960" w:hanging="48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
    <w:nsid w:val="757F6253"/>
    <w:multiLevelType w:val="multilevel"/>
    <w:tmpl w:val="757F6253"/>
    <w:lvl w:ilvl="0" w:tentative="0">
      <w:start w:val="1"/>
      <w:numFmt w:val="chineseCountingThousand"/>
      <w:pStyle w:val="2"/>
      <w:suff w:val="nothing"/>
      <w:lvlText w:val="%1、"/>
      <w:lvlJc w:val="left"/>
      <w:pPr>
        <w:ind w:left="0" w:firstLine="0"/>
      </w:pPr>
      <w:rPr>
        <w:rFonts w:hint="eastAsia"/>
      </w:rPr>
    </w:lvl>
    <w:lvl w:ilvl="1" w:tentative="0">
      <w:start w:val="1"/>
      <w:numFmt w:val="chineseCountingThousand"/>
      <w:pStyle w:val="3"/>
      <w:suff w:val="nothing"/>
      <w:lvlText w:val="（%2）"/>
      <w:lvlJc w:val="left"/>
      <w:pPr>
        <w:ind w:left="709" w:hanging="284"/>
      </w:pPr>
      <w:rPr>
        <w:rFonts w:hint="eastAsia"/>
      </w:rPr>
    </w:lvl>
    <w:lvl w:ilvl="2" w:tentative="0">
      <w:start w:val="1"/>
      <w:numFmt w:val="decimal"/>
      <w:pStyle w:val="14"/>
      <w:suff w:val="nothing"/>
      <w:lvlText w:val="%3、"/>
      <w:lvlJc w:val="left"/>
      <w:pPr>
        <w:ind w:left="-312" w:firstLine="73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ZjODkyZjhhMDVmZjFlOGY1YWNmZGJmN2E4YjNhNDkifQ=="/>
  </w:docVars>
  <w:rsids>
    <w:rsidRoot w:val="007B0092"/>
    <w:rsid w:val="0000170C"/>
    <w:rsid w:val="000052CA"/>
    <w:rsid w:val="00006DEB"/>
    <w:rsid w:val="00022D5C"/>
    <w:rsid w:val="00024425"/>
    <w:rsid w:val="00034E60"/>
    <w:rsid w:val="00060B9E"/>
    <w:rsid w:val="00076A37"/>
    <w:rsid w:val="0008011A"/>
    <w:rsid w:val="000C3042"/>
    <w:rsid w:val="000D03FD"/>
    <w:rsid w:val="000E4B39"/>
    <w:rsid w:val="00111849"/>
    <w:rsid w:val="001426E6"/>
    <w:rsid w:val="00143BA6"/>
    <w:rsid w:val="00150586"/>
    <w:rsid w:val="00165D02"/>
    <w:rsid w:val="0016671F"/>
    <w:rsid w:val="00176C16"/>
    <w:rsid w:val="00191A02"/>
    <w:rsid w:val="001947AB"/>
    <w:rsid w:val="001B5451"/>
    <w:rsid w:val="001B6755"/>
    <w:rsid w:val="001C550B"/>
    <w:rsid w:val="001C5550"/>
    <w:rsid w:val="001D329B"/>
    <w:rsid w:val="001D3FD5"/>
    <w:rsid w:val="001E3962"/>
    <w:rsid w:val="001E4401"/>
    <w:rsid w:val="001E56CC"/>
    <w:rsid w:val="002024DA"/>
    <w:rsid w:val="0020252E"/>
    <w:rsid w:val="00212ABC"/>
    <w:rsid w:val="00223B1B"/>
    <w:rsid w:val="00245A99"/>
    <w:rsid w:val="0024693E"/>
    <w:rsid w:val="00264CC2"/>
    <w:rsid w:val="00274701"/>
    <w:rsid w:val="00275593"/>
    <w:rsid w:val="00277AA6"/>
    <w:rsid w:val="00284BA6"/>
    <w:rsid w:val="002A7B6D"/>
    <w:rsid w:val="002B3B57"/>
    <w:rsid w:val="002C1471"/>
    <w:rsid w:val="002C32C4"/>
    <w:rsid w:val="002C555B"/>
    <w:rsid w:val="002E235B"/>
    <w:rsid w:val="00301485"/>
    <w:rsid w:val="003175FA"/>
    <w:rsid w:val="003250CD"/>
    <w:rsid w:val="003275F6"/>
    <w:rsid w:val="00335CB4"/>
    <w:rsid w:val="00341F51"/>
    <w:rsid w:val="00343888"/>
    <w:rsid w:val="00346DE2"/>
    <w:rsid w:val="0035410F"/>
    <w:rsid w:val="00357206"/>
    <w:rsid w:val="00363682"/>
    <w:rsid w:val="00366E0A"/>
    <w:rsid w:val="003812DA"/>
    <w:rsid w:val="003A36D7"/>
    <w:rsid w:val="003C2767"/>
    <w:rsid w:val="003D01DA"/>
    <w:rsid w:val="003E2882"/>
    <w:rsid w:val="003E387F"/>
    <w:rsid w:val="003F0F92"/>
    <w:rsid w:val="00402B64"/>
    <w:rsid w:val="00403346"/>
    <w:rsid w:val="004061D4"/>
    <w:rsid w:val="00407116"/>
    <w:rsid w:val="00430FEF"/>
    <w:rsid w:val="00445E7E"/>
    <w:rsid w:val="0045152E"/>
    <w:rsid w:val="00460BCB"/>
    <w:rsid w:val="00466256"/>
    <w:rsid w:val="0048108F"/>
    <w:rsid w:val="00481E02"/>
    <w:rsid w:val="004A301A"/>
    <w:rsid w:val="004A5D6C"/>
    <w:rsid w:val="004B3117"/>
    <w:rsid w:val="004C1B60"/>
    <w:rsid w:val="004D2CAF"/>
    <w:rsid w:val="00513BC8"/>
    <w:rsid w:val="00524F9D"/>
    <w:rsid w:val="0053335B"/>
    <w:rsid w:val="00540DCE"/>
    <w:rsid w:val="0054418B"/>
    <w:rsid w:val="00545214"/>
    <w:rsid w:val="00563A54"/>
    <w:rsid w:val="0057798B"/>
    <w:rsid w:val="00581063"/>
    <w:rsid w:val="0059611A"/>
    <w:rsid w:val="00596448"/>
    <w:rsid w:val="005A0085"/>
    <w:rsid w:val="005A0BE6"/>
    <w:rsid w:val="005B0571"/>
    <w:rsid w:val="005B2492"/>
    <w:rsid w:val="005B4260"/>
    <w:rsid w:val="005B60F8"/>
    <w:rsid w:val="005D76A1"/>
    <w:rsid w:val="005E0AA9"/>
    <w:rsid w:val="005E6B41"/>
    <w:rsid w:val="005F1BFE"/>
    <w:rsid w:val="00616428"/>
    <w:rsid w:val="00616F3C"/>
    <w:rsid w:val="00620A3A"/>
    <w:rsid w:val="00636EA3"/>
    <w:rsid w:val="00637818"/>
    <w:rsid w:val="00665D98"/>
    <w:rsid w:val="00672B32"/>
    <w:rsid w:val="00687C8E"/>
    <w:rsid w:val="00693032"/>
    <w:rsid w:val="006A168B"/>
    <w:rsid w:val="006C02FE"/>
    <w:rsid w:val="006E21EB"/>
    <w:rsid w:val="006E2A8E"/>
    <w:rsid w:val="00716263"/>
    <w:rsid w:val="00725608"/>
    <w:rsid w:val="00764036"/>
    <w:rsid w:val="0076428B"/>
    <w:rsid w:val="007671AD"/>
    <w:rsid w:val="0077171F"/>
    <w:rsid w:val="007776EF"/>
    <w:rsid w:val="00783CE8"/>
    <w:rsid w:val="00791580"/>
    <w:rsid w:val="007A6D69"/>
    <w:rsid w:val="007B0092"/>
    <w:rsid w:val="007B24D9"/>
    <w:rsid w:val="007C61DC"/>
    <w:rsid w:val="007E7228"/>
    <w:rsid w:val="00806E98"/>
    <w:rsid w:val="0081255D"/>
    <w:rsid w:val="00871C04"/>
    <w:rsid w:val="00877B66"/>
    <w:rsid w:val="00894F43"/>
    <w:rsid w:val="008A2540"/>
    <w:rsid w:val="008A771B"/>
    <w:rsid w:val="008A79EC"/>
    <w:rsid w:val="008C082E"/>
    <w:rsid w:val="008F126C"/>
    <w:rsid w:val="008F1F23"/>
    <w:rsid w:val="008F4855"/>
    <w:rsid w:val="008F7D11"/>
    <w:rsid w:val="00900970"/>
    <w:rsid w:val="0091491B"/>
    <w:rsid w:val="009305FA"/>
    <w:rsid w:val="00942323"/>
    <w:rsid w:val="00943AAA"/>
    <w:rsid w:val="0096607F"/>
    <w:rsid w:val="00981AE4"/>
    <w:rsid w:val="0098218E"/>
    <w:rsid w:val="00990F2D"/>
    <w:rsid w:val="009956E4"/>
    <w:rsid w:val="009D0D63"/>
    <w:rsid w:val="009D24A8"/>
    <w:rsid w:val="009E328F"/>
    <w:rsid w:val="00A10FF8"/>
    <w:rsid w:val="00A1438C"/>
    <w:rsid w:val="00A458E0"/>
    <w:rsid w:val="00A47084"/>
    <w:rsid w:val="00A57B62"/>
    <w:rsid w:val="00A716D6"/>
    <w:rsid w:val="00A71C19"/>
    <w:rsid w:val="00A82B5B"/>
    <w:rsid w:val="00A831B8"/>
    <w:rsid w:val="00A83C14"/>
    <w:rsid w:val="00A86962"/>
    <w:rsid w:val="00AB6C2F"/>
    <w:rsid w:val="00AC27A5"/>
    <w:rsid w:val="00AF3BB3"/>
    <w:rsid w:val="00AF4E74"/>
    <w:rsid w:val="00B04275"/>
    <w:rsid w:val="00B06C23"/>
    <w:rsid w:val="00B26A0F"/>
    <w:rsid w:val="00B36C59"/>
    <w:rsid w:val="00B47341"/>
    <w:rsid w:val="00B52BD2"/>
    <w:rsid w:val="00B740D0"/>
    <w:rsid w:val="00BA2EC4"/>
    <w:rsid w:val="00BC3979"/>
    <w:rsid w:val="00C0111D"/>
    <w:rsid w:val="00C05827"/>
    <w:rsid w:val="00C17376"/>
    <w:rsid w:val="00C17EA3"/>
    <w:rsid w:val="00C32188"/>
    <w:rsid w:val="00C37C40"/>
    <w:rsid w:val="00C70A95"/>
    <w:rsid w:val="00C84C56"/>
    <w:rsid w:val="00C90325"/>
    <w:rsid w:val="00C903A3"/>
    <w:rsid w:val="00CA7AFE"/>
    <w:rsid w:val="00CB0E1B"/>
    <w:rsid w:val="00CB5009"/>
    <w:rsid w:val="00CC7B6B"/>
    <w:rsid w:val="00CE2376"/>
    <w:rsid w:val="00D0135E"/>
    <w:rsid w:val="00D3029B"/>
    <w:rsid w:val="00D8733F"/>
    <w:rsid w:val="00D97692"/>
    <w:rsid w:val="00DB0247"/>
    <w:rsid w:val="00DD1F4E"/>
    <w:rsid w:val="00DD2A8F"/>
    <w:rsid w:val="00DE657F"/>
    <w:rsid w:val="00E11BBA"/>
    <w:rsid w:val="00E4321B"/>
    <w:rsid w:val="00E443BD"/>
    <w:rsid w:val="00E47C76"/>
    <w:rsid w:val="00E47D8C"/>
    <w:rsid w:val="00E62990"/>
    <w:rsid w:val="00E84539"/>
    <w:rsid w:val="00E85B40"/>
    <w:rsid w:val="00E90FAD"/>
    <w:rsid w:val="00E9238F"/>
    <w:rsid w:val="00EA310E"/>
    <w:rsid w:val="00ED0DFD"/>
    <w:rsid w:val="00ED1427"/>
    <w:rsid w:val="00EF5F87"/>
    <w:rsid w:val="00F03AC3"/>
    <w:rsid w:val="00F23172"/>
    <w:rsid w:val="00F400AF"/>
    <w:rsid w:val="00F44BB3"/>
    <w:rsid w:val="00F6491C"/>
    <w:rsid w:val="00F87F63"/>
    <w:rsid w:val="00F97559"/>
    <w:rsid w:val="00FA3A71"/>
    <w:rsid w:val="00FA790D"/>
    <w:rsid w:val="00FB00F6"/>
    <w:rsid w:val="00FB575D"/>
    <w:rsid w:val="00FC3A7E"/>
    <w:rsid w:val="00FF29BB"/>
    <w:rsid w:val="00FF52A9"/>
    <w:rsid w:val="01F223F4"/>
    <w:rsid w:val="086205EA"/>
    <w:rsid w:val="0A307EC1"/>
    <w:rsid w:val="19FA1660"/>
    <w:rsid w:val="23516232"/>
    <w:rsid w:val="250870F1"/>
    <w:rsid w:val="584C5A05"/>
    <w:rsid w:val="59C50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0"/>
    <w:pPr>
      <w:keepNext/>
      <w:keepLines/>
      <w:numPr>
        <w:ilvl w:val="0"/>
        <w:numId w:val="1"/>
      </w:numPr>
      <w:adjustRightInd w:val="0"/>
      <w:snapToGrid w:val="0"/>
      <w:spacing w:before="160" w:after="160"/>
      <w:outlineLvl w:val="0"/>
    </w:pPr>
    <w:rPr>
      <w:rFonts w:ascii="Times New Roman" w:hAnsi="Times New Roman" w:eastAsia="黑体" w:cs="Times New Roman"/>
      <w:b/>
      <w:bCs/>
      <w:color w:val="000000" w:themeColor="text1"/>
      <w:kern w:val="44"/>
      <w:sz w:val="32"/>
      <w:szCs w:val="44"/>
      <w14:textFill>
        <w14:solidFill>
          <w14:schemeClr w14:val="tx1"/>
        </w14:solidFill>
      </w14:textFill>
    </w:rPr>
  </w:style>
  <w:style w:type="paragraph" w:styleId="3">
    <w:name w:val="heading 2"/>
    <w:basedOn w:val="1"/>
    <w:next w:val="1"/>
    <w:link w:val="13"/>
    <w:qFormat/>
    <w:uiPriority w:val="0"/>
    <w:pPr>
      <w:keepNext/>
      <w:keepLines/>
      <w:numPr>
        <w:ilvl w:val="1"/>
        <w:numId w:val="1"/>
      </w:numPr>
      <w:adjustRightInd w:val="0"/>
      <w:snapToGrid w:val="0"/>
      <w:spacing w:before="50" w:beforeLines="50" w:after="50" w:afterLines="50"/>
      <w:ind w:firstLine="0"/>
      <w:outlineLvl w:val="1"/>
    </w:pPr>
    <w:rPr>
      <w:rFonts w:ascii="仿宋" w:hAnsi="仿宋" w:eastAsia="仿宋" w:cs="Times New Roman"/>
      <w:b/>
      <w:bCs/>
      <w:color w:val="000000" w:themeColor="text1"/>
      <w:sz w:val="32"/>
      <w:szCs w:val="32"/>
      <w14:textFill>
        <w14:solidFill>
          <w14:schemeClr w14:val="tx1"/>
        </w14:solidFill>
      </w14:textFill>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character" w:customStyle="1" w:styleId="11">
    <w:name w:val="未处理的提及1"/>
    <w:basedOn w:val="8"/>
    <w:semiHidden/>
    <w:unhideWhenUsed/>
    <w:qFormat/>
    <w:uiPriority w:val="99"/>
    <w:rPr>
      <w:color w:val="605E5C"/>
      <w:shd w:val="clear" w:color="auto" w:fill="E1DFDD"/>
    </w:rPr>
  </w:style>
  <w:style w:type="character" w:customStyle="1" w:styleId="12">
    <w:name w:val="标题 1 字符"/>
    <w:basedOn w:val="8"/>
    <w:link w:val="2"/>
    <w:qFormat/>
    <w:uiPriority w:val="0"/>
    <w:rPr>
      <w:rFonts w:ascii="Times New Roman" w:hAnsi="Times New Roman" w:eastAsia="黑体" w:cs="Times New Roman"/>
      <w:b/>
      <w:bCs/>
      <w:color w:val="000000" w:themeColor="text1"/>
      <w:kern w:val="44"/>
      <w:sz w:val="32"/>
      <w:szCs w:val="44"/>
      <w14:textFill>
        <w14:solidFill>
          <w14:schemeClr w14:val="tx1"/>
        </w14:solidFill>
      </w14:textFill>
    </w:rPr>
  </w:style>
  <w:style w:type="character" w:customStyle="1" w:styleId="13">
    <w:name w:val="标题 2 字符"/>
    <w:basedOn w:val="8"/>
    <w:link w:val="3"/>
    <w:qFormat/>
    <w:uiPriority w:val="0"/>
    <w:rPr>
      <w:rFonts w:ascii="仿宋" w:hAnsi="仿宋" w:eastAsia="仿宋" w:cs="Times New Roman"/>
      <w:b/>
      <w:bCs/>
      <w:color w:val="000000" w:themeColor="text1"/>
      <w:sz w:val="32"/>
      <w:szCs w:val="32"/>
      <w14:textFill>
        <w14:solidFill>
          <w14:schemeClr w14:val="tx1"/>
        </w14:solidFill>
      </w14:textFill>
    </w:rPr>
  </w:style>
  <w:style w:type="paragraph" w:customStyle="1" w:styleId="14">
    <w:name w:val="标题3"/>
    <w:basedOn w:val="1"/>
    <w:qFormat/>
    <w:uiPriority w:val="0"/>
    <w:pPr>
      <w:numPr>
        <w:ilvl w:val="2"/>
        <w:numId w:val="1"/>
      </w:numPr>
      <w:adjustRightInd w:val="0"/>
      <w:snapToGrid w:val="0"/>
      <w:spacing w:before="70" w:beforeLines="70" w:after="70" w:afterLines="70"/>
      <w:ind w:firstLine="0"/>
      <w:outlineLvl w:val="2"/>
    </w:pPr>
    <w:rPr>
      <w:rFonts w:ascii="Times New Roman" w:hAnsi="Times New Roman" w:eastAsia="仿宋_GB2312" w:cs="Times New Roman"/>
      <w:color w:val="000000"/>
      <w:sz w:val="28"/>
      <w:szCs w:val="28"/>
    </w:rPr>
  </w:style>
  <w:style w:type="character" w:customStyle="1" w:styleId="15">
    <w:name w:val="页眉 字符"/>
    <w:basedOn w:val="8"/>
    <w:link w:val="5"/>
    <w:qFormat/>
    <w:uiPriority w:val="99"/>
    <w:rPr>
      <w:sz w:val="18"/>
      <w:szCs w:val="18"/>
    </w:rPr>
  </w:style>
  <w:style w:type="character" w:customStyle="1" w:styleId="16">
    <w:name w:val="页脚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2553</Words>
  <Characters>2715</Characters>
  <Lines>21</Lines>
  <Paragraphs>5</Paragraphs>
  <TotalTime>1982</TotalTime>
  <ScaleCrop>false</ScaleCrop>
  <LinksUpToDate>false</LinksUpToDate>
  <CharactersWithSpaces>2722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2023-08-22T02:17:00Z</dcterms:created>
  <dc:creator>u039007</dc:creator>
  <cp:lastModifiedBy>顾誉桦</cp:lastModifiedBy>
  <dcterms:modified xsi:type="dcterms:W3CDTF">2025-06-16T05:25:41Z</dcterms:modified>
  <cp:revision>139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C0F8FC36C5AD428B913E72D8B0977CA6_12</vt:lpwstr>
  </property>
  <property fmtid="{D5CDD505-2E9C-101B-9397-08002B2CF9AE}" pid="4" name="KSOTemplateDocerSaveRecord">
    <vt:lpwstr>eyJoZGlkIjoiNDZjODkyZjhhMDVmZjFlOGY1YWNmZGJmN2E4YjNhNDkiLCJ1c2VySWQiOiIxMzc1NDMzNzc1In0=</vt:lpwstr>
  </property>
</Properties>
</file>