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5C48F9">
      <w:pPr>
        <w:spacing w:line="560" w:lineRule="exact"/>
        <w:rPr>
          <w:rFonts w:hint="eastAsia" w:ascii="宋体" w:hAnsi="宋体" w:eastAsia="宋体" w:cs="宋体"/>
          <w:color w:val="000000" w:themeColor="text1"/>
          <w:sz w:val="32"/>
          <w:szCs w:val="32"/>
        </w:rPr>
      </w:pPr>
    </w:p>
    <w:p w14:paraId="13047F02">
      <w:pPr>
        <w:spacing w:line="560" w:lineRule="exact"/>
        <w:ind w:firstLine="640" w:firstLineChars="200"/>
        <w:rPr>
          <w:rFonts w:hint="eastAsia" w:ascii="宋体" w:hAnsi="宋体" w:eastAsia="宋体" w:cs="宋体"/>
          <w:color w:val="000000" w:themeColor="text1"/>
          <w:sz w:val="32"/>
          <w:szCs w:val="32"/>
        </w:rPr>
      </w:pPr>
    </w:p>
    <w:p w14:paraId="5D23CB22">
      <w:pPr>
        <w:spacing w:line="560" w:lineRule="exact"/>
        <w:ind w:firstLine="640" w:firstLineChars="200"/>
        <w:rPr>
          <w:rFonts w:hint="eastAsia" w:ascii="宋体" w:hAnsi="宋体" w:eastAsia="宋体" w:cs="宋体"/>
          <w:color w:val="000000" w:themeColor="text1"/>
          <w:sz w:val="32"/>
          <w:szCs w:val="32"/>
        </w:rPr>
      </w:pPr>
    </w:p>
    <w:p w14:paraId="6FFB2E05">
      <w:pPr>
        <w:spacing w:line="560" w:lineRule="exact"/>
        <w:ind w:firstLine="640" w:firstLineChars="200"/>
        <w:rPr>
          <w:rFonts w:hint="eastAsia" w:ascii="宋体" w:hAnsi="宋体" w:eastAsia="宋体" w:cs="宋体"/>
          <w:color w:val="000000" w:themeColor="text1"/>
          <w:sz w:val="32"/>
          <w:szCs w:val="32"/>
        </w:rPr>
      </w:pPr>
    </w:p>
    <w:p w14:paraId="193E4CE7">
      <w:pPr>
        <w:spacing w:line="480" w:lineRule="auto"/>
        <w:jc w:val="center"/>
        <w:rPr>
          <w:rFonts w:hint="eastAsia" w:ascii="宋体" w:hAnsi="宋体" w:eastAsia="宋体" w:cs="宋体"/>
          <w:color w:val="000000" w:themeColor="text1"/>
          <w:sz w:val="52"/>
          <w:szCs w:val="52"/>
        </w:rPr>
      </w:pPr>
      <w:bookmarkStart w:id="0" w:name="_Hlk173183456"/>
      <w:r>
        <w:rPr>
          <w:rFonts w:hint="eastAsia" w:ascii="宋体" w:hAnsi="宋体" w:eastAsia="宋体" w:cs="宋体"/>
          <w:color w:val="000000" w:themeColor="text1"/>
          <w:sz w:val="52"/>
          <w:szCs w:val="52"/>
        </w:rPr>
        <w:t>无锡</w:t>
      </w:r>
      <w:bookmarkEnd w:id="0"/>
      <w:r>
        <w:rPr>
          <w:rFonts w:hint="eastAsia" w:ascii="宋体" w:hAnsi="宋体" w:eastAsia="宋体" w:cs="宋体"/>
          <w:color w:val="000000" w:themeColor="text1"/>
          <w:sz w:val="52"/>
          <w:szCs w:val="52"/>
        </w:rPr>
        <w:t>市国土空间总体规划</w:t>
      </w:r>
    </w:p>
    <w:p w14:paraId="095268B3">
      <w:pPr>
        <w:spacing w:line="480" w:lineRule="auto"/>
        <w:jc w:val="center"/>
        <w:rPr>
          <w:rFonts w:hint="eastAsia" w:ascii="宋体" w:hAnsi="宋体" w:eastAsia="宋体" w:cs="宋体"/>
          <w:color w:val="000000" w:themeColor="text1"/>
          <w:sz w:val="52"/>
          <w:szCs w:val="52"/>
        </w:rPr>
      </w:pPr>
      <w:r>
        <w:rPr>
          <w:rFonts w:hint="eastAsia" w:ascii="宋体" w:hAnsi="宋体" w:eastAsia="宋体" w:cs="宋体"/>
          <w:color w:val="000000" w:themeColor="text1"/>
          <w:sz w:val="52"/>
          <w:szCs w:val="52"/>
        </w:rPr>
        <w:t>（</w:t>
      </w:r>
      <w:r>
        <w:rPr>
          <w:rFonts w:hint="eastAsia" w:ascii="宋体" w:hAnsi="宋体" w:eastAsia="宋体" w:cs="宋体"/>
          <w:color w:val="000000" w:themeColor="text1"/>
          <w:sz w:val="52"/>
          <w:szCs w:val="52"/>
        </w:rPr>
        <w:t>2021</w:t>
      </w:r>
      <w:r>
        <w:rPr>
          <w:rFonts w:hint="eastAsia" w:ascii="宋体" w:hAnsi="宋体" w:eastAsia="宋体" w:cs="宋体"/>
          <w:color w:val="000000" w:themeColor="text1"/>
          <w:sz w:val="52"/>
          <w:szCs w:val="52"/>
        </w:rPr>
        <w:t>-</w:t>
      </w:r>
      <w:r>
        <w:rPr>
          <w:rFonts w:hint="eastAsia" w:ascii="宋体" w:hAnsi="宋体" w:eastAsia="宋体" w:cs="宋体"/>
          <w:color w:val="000000" w:themeColor="text1"/>
          <w:sz w:val="52"/>
          <w:szCs w:val="52"/>
        </w:rPr>
        <w:t>2035</w:t>
      </w:r>
      <w:r>
        <w:rPr>
          <w:rFonts w:hint="eastAsia" w:ascii="宋体" w:hAnsi="宋体" w:eastAsia="宋体" w:cs="宋体"/>
          <w:color w:val="000000" w:themeColor="text1"/>
          <w:sz w:val="52"/>
          <w:szCs w:val="52"/>
        </w:rPr>
        <w:t>年）</w:t>
      </w:r>
      <w:bookmarkStart w:id="301" w:name="_GoBack"/>
      <w:bookmarkEnd w:id="301"/>
    </w:p>
    <w:p w14:paraId="2FF805E4">
      <w:pPr>
        <w:spacing w:line="480" w:lineRule="auto"/>
        <w:jc w:val="center"/>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（公开稿）</w:t>
      </w:r>
    </w:p>
    <w:p w14:paraId="4E98C78B">
      <w:pPr>
        <w:spacing w:line="480" w:lineRule="auto"/>
        <w:jc w:val="center"/>
        <w:rPr>
          <w:rFonts w:hint="eastAsia" w:ascii="宋体" w:hAnsi="宋体" w:eastAsia="宋体" w:cs="宋体"/>
          <w:color w:val="000000" w:themeColor="text1"/>
          <w:sz w:val="32"/>
          <w:szCs w:val="32"/>
          <w:lang w:eastAsia="zh-CN"/>
        </w:rPr>
      </w:pPr>
    </w:p>
    <w:p w14:paraId="60E803FC">
      <w:pPr>
        <w:spacing w:line="560" w:lineRule="exact"/>
        <w:jc w:val="center"/>
        <w:rPr>
          <w:rFonts w:hint="eastAsia" w:ascii="宋体" w:hAnsi="宋体" w:eastAsia="宋体" w:cs="宋体"/>
          <w:color w:val="000000" w:themeColor="text1"/>
          <w:sz w:val="36"/>
          <w:szCs w:val="36"/>
        </w:rPr>
      </w:pPr>
    </w:p>
    <w:p w14:paraId="2C8BAE4C">
      <w:pPr>
        <w:spacing w:line="560" w:lineRule="exact"/>
        <w:jc w:val="center"/>
        <w:rPr>
          <w:rFonts w:hint="eastAsia" w:ascii="宋体" w:hAnsi="宋体" w:eastAsia="宋体" w:cs="宋体"/>
          <w:color w:val="000000" w:themeColor="text1"/>
          <w:sz w:val="36"/>
          <w:szCs w:val="36"/>
        </w:rPr>
      </w:pPr>
    </w:p>
    <w:p w14:paraId="3FB1D438">
      <w:pPr>
        <w:spacing w:line="560" w:lineRule="exact"/>
        <w:jc w:val="center"/>
        <w:rPr>
          <w:rFonts w:hint="eastAsia" w:ascii="宋体" w:hAnsi="宋体" w:eastAsia="宋体" w:cs="宋体"/>
          <w:color w:val="000000" w:themeColor="text1"/>
          <w:sz w:val="36"/>
          <w:szCs w:val="36"/>
        </w:rPr>
      </w:pPr>
    </w:p>
    <w:p w14:paraId="7BD861BA">
      <w:pPr>
        <w:spacing w:line="560" w:lineRule="exact"/>
        <w:jc w:val="center"/>
        <w:rPr>
          <w:rFonts w:hint="eastAsia" w:ascii="宋体" w:hAnsi="宋体" w:eastAsia="宋体" w:cs="宋体"/>
          <w:color w:val="000000" w:themeColor="text1"/>
          <w:sz w:val="36"/>
          <w:szCs w:val="36"/>
        </w:rPr>
      </w:pPr>
    </w:p>
    <w:p w14:paraId="4A4E487F">
      <w:pPr>
        <w:spacing w:line="560" w:lineRule="exact"/>
        <w:jc w:val="center"/>
        <w:rPr>
          <w:rFonts w:hint="eastAsia" w:ascii="宋体" w:hAnsi="宋体" w:eastAsia="宋体" w:cs="宋体"/>
          <w:color w:val="000000" w:themeColor="text1"/>
          <w:sz w:val="36"/>
          <w:szCs w:val="36"/>
        </w:rPr>
      </w:pPr>
    </w:p>
    <w:p w14:paraId="42199639">
      <w:pPr>
        <w:spacing w:line="560" w:lineRule="exact"/>
        <w:jc w:val="center"/>
        <w:rPr>
          <w:rFonts w:hint="eastAsia" w:ascii="宋体" w:hAnsi="宋体" w:eastAsia="宋体" w:cs="宋体"/>
          <w:color w:val="000000" w:themeColor="text1"/>
          <w:sz w:val="36"/>
          <w:szCs w:val="36"/>
        </w:rPr>
      </w:pPr>
    </w:p>
    <w:p w14:paraId="21AE856B">
      <w:pPr>
        <w:spacing w:line="560" w:lineRule="exact"/>
        <w:jc w:val="center"/>
        <w:rPr>
          <w:rFonts w:hint="eastAsia" w:ascii="宋体" w:hAnsi="宋体" w:eastAsia="宋体" w:cs="宋体"/>
          <w:color w:val="000000" w:themeColor="text1"/>
          <w:sz w:val="36"/>
          <w:szCs w:val="36"/>
        </w:rPr>
      </w:pPr>
    </w:p>
    <w:p w14:paraId="7C828346">
      <w:pPr>
        <w:spacing w:line="560" w:lineRule="exact"/>
        <w:jc w:val="center"/>
        <w:rPr>
          <w:rFonts w:hint="eastAsia" w:ascii="宋体" w:hAnsi="宋体" w:eastAsia="宋体" w:cs="宋体"/>
          <w:color w:val="000000" w:themeColor="text1"/>
          <w:sz w:val="36"/>
          <w:szCs w:val="36"/>
        </w:rPr>
      </w:pPr>
    </w:p>
    <w:p w14:paraId="34538D47">
      <w:pPr>
        <w:spacing w:line="560" w:lineRule="exact"/>
        <w:jc w:val="center"/>
        <w:rPr>
          <w:rFonts w:hint="eastAsia" w:ascii="宋体" w:hAnsi="宋体" w:eastAsia="宋体" w:cs="宋体"/>
          <w:color w:val="000000" w:themeColor="text1"/>
          <w:sz w:val="36"/>
          <w:szCs w:val="36"/>
        </w:rPr>
      </w:pPr>
    </w:p>
    <w:p w14:paraId="458CD77F">
      <w:pPr>
        <w:spacing w:line="560" w:lineRule="exact"/>
        <w:jc w:val="center"/>
        <w:rPr>
          <w:rFonts w:hint="eastAsia" w:ascii="宋体" w:hAnsi="宋体" w:eastAsia="宋体" w:cs="宋体"/>
          <w:color w:val="000000" w:themeColor="text1"/>
          <w:sz w:val="36"/>
          <w:szCs w:val="36"/>
        </w:rPr>
      </w:pPr>
    </w:p>
    <w:p w14:paraId="72CD4EC6">
      <w:pPr>
        <w:spacing w:line="560" w:lineRule="exact"/>
        <w:jc w:val="center"/>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无锡市人民政府</w:t>
      </w:r>
    </w:p>
    <w:p w14:paraId="5F5733EE">
      <w:pPr>
        <w:spacing w:line="560" w:lineRule="exact"/>
        <w:jc w:val="center"/>
        <w:rPr>
          <w:rFonts w:hint="eastAsia" w:ascii="宋体" w:hAnsi="宋体" w:eastAsia="宋体" w:cs="宋体"/>
          <w:color w:val="000000" w:themeColor="text1"/>
          <w:sz w:val="44"/>
          <w:szCs w:val="44"/>
        </w:rPr>
      </w:pPr>
      <w:r>
        <w:rPr>
          <w:rFonts w:hint="eastAsia" w:ascii="宋体" w:hAnsi="宋体" w:eastAsia="宋体" w:cs="宋体"/>
          <w:color w:val="000000" w:themeColor="text1"/>
          <w:sz w:val="32"/>
          <w:szCs w:val="32"/>
        </w:rPr>
        <w:t>202</w:t>
      </w:r>
      <w:r>
        <w:rPr>
          <w:rFonts w:hint="eastAsia" w:ascii="宋体" w:hAnsi="宋体" w:eastAsia="宋体" w:cs="宋体"/>
          <w:color w:val="000000" w:themeColor="text1"/>
          <w:sz w:val="32"/>
          <w:szCs w:val="32"/>
        </w:rPr>
        <w:t>5</w:t>
      </w:r>
      <w:r>
        <w:rPr>
          <w:rFonts w:hint="eastAsia" w:ascii="宋体" w:hAnsi="宋体" w:eastAsia="宋体" w:cs="宋体"/>
          <w:color w:val="000000" w:themeColor="text1"/>
          <w:sz w:val="32"/>
          <w:szCs w:val="32"/>
        </w:rPr>
        <w:t>年</w:t>
      </w:r>
      <w:r>
        <w:rPr>
          <w:rFonts w:hint="eastAsia" w:ascii="宋体" w:hAnsi="宋体" w:eastAsia="宋体" w:cs="宋体"/>
          <w:color w:val="000000" w:themeColor="text1"/>
          <w:sz w:val="32"/>
          <w:szCs w:val="32"/>
          <w:lang w:val="en-US"/>
        </w:rPr>
        <w:t>1</w:t>
      </w:r>
      <w:r>
        <w:rPr>
          <w:rFonts w:hint="eastAsia" w:ascii="宋体" w:hAnsi="宋体" w:eastAsia="宋体" w:cs="宋体"/>
          <w:color w:val="000000" w:themeColor="text1"/>
          <w:sz w:val="32"/>
          <w:szCs w:val="32"/>
        </w:rPr>
        <w:t>月</w:t>
      </w:r>
    </w:p>
    <w:p w14:paraId="16E5E42D">
      <w:pPr>
        <w:adjustRightInd w:val="0"/>
        <w:snapToGrid w:val="0"/>
        <w:spacing w:line="560" w:lineRule="exact"/>
        <w:rPr>
          <w:rFonts w:hint="eastAsia" w:ascii="宋体" w:hAnsi="宋体" w:eastAsia="宋体" w:cs="宋体"/>
          <w:color w:val="000000" w:themeColor="text1"/>
          <w:sz w:val="32"/>
          <w:szCs w:val="32"/>
        </w:rPr>
        <w:sectPr>
          <w:headerReference r:id="rId4" w:type="first"/>
          <w:headerReference r:id="rId3" w:type="default"/>
          <w:footerReference r:id="rId5" w:type="default"/>
          <w:pgSz w:w="11906" w:h="16838"/>
          <w:pgMar w:top="1440" w:right="1800" w:bottom="1440" w:left="1800" w:header="851" w:footer="992" w:gutter="0"/>
          <w:pgNumType w:fmt="upperRoman" w:start="1"/>
          <w:cols w:space="425" w:num="1"/>
          <w:docGrid w:type="lines" w:linePitch="312" w:charSpace="0"/>
        </w:sectPr>
      </w:pPr>
    </w:p>
    <w:p w14:paraId="6C518FF5">
      <w:pPr>
        <w:spacing w:line="560" w:lineRule="exact"/>
        <w:jc w:val="center"/>
        <w:rPr>
          <w:rFonts w:hint="eastAsia" w:ascii="宋体" w:hAnsi="宋体" w:eastAsia="宋体" w:cs="宋体"/>
          <w:color w:val="000000" w:themeColor="text1"/>
          <w:sz w:val="36"/>
          <w:szCs w:val="36"/>
        </w:rPr>
      </w:pPr>
      <w:r>
        <w:rPr>
          <w:rFonts w:hint="eastAsia" w:ascii="宋体" w:hAnsi="宋体" w:eastAsia="宋体" w:cs="宋体"/>
          <w:color w:val="000000" w:themeColor="text1"/>
          <w:sz w:val="36"/>
          <w:szCs w:val="36"/>
        </w:rPr>
        <w:t>目录</w:t>
      </w:r>
    </w:p>
    <w:p w14:paraId="606ECA15">
      <w:pPr>
        <w:pStyle w:val="25"/>
        <w:tabs>
          <w:tab w:val="right" w:leader="dot" w:pos="8306"/>
          <w:tab w:val="clear" w:pos="1260"/>
          <w:tab w:val="clear" w:pos="8296"/>
        </w:tabs>
        <w:rPr>
          <w:rFonts w:hint="eastAsia" w:ascii="宋体" w:hAnsi="宋体" w:eastAsia="宋体" w:cs="宋体"/>
        </w:rPr>
      </w:pPr>
      <w:r>
        <w:rPr>
          <w:rFonts w:hint="eastAsia" w:ascii="宋体" w:hAnsi="宋体" w:eastAsia="宋体" w:cs="宋体"/>
          <w:color w:val="000000" w:themeColor="text1"/>
        </w:rPr>
        <w:fldChar w:fldCharType="begin"/>
      </w:r>
      <w:r>
        <w:rPr>
          <w:rFonts w:hint="eastAsia" w:ascii="宋体" w:hAnsi="宋体" w:eastAsia="宋体" w:cs="宋体"/>
          <w:color w:val="000000" w:themeColor="text1"/>
        </w:rPr>
        <w:instrText xml:space="preserve"> TOC \o "1-2" \h \z \u </w:instrText>
      </w:r>
      <w:r>
        <w:rPr>
          <w:rFonts w:hint="eastAsia" w:ascii="宋体" w:hAnsi="宋体" w:eastAsia="宋体" w:cs="宋体"/>
          <w:color w:val="000000" w:themeColor="text1"/>
        </w:rPr>
        <w:fldChar w:fldCharType="separate"/>
      </w:r>
      <w:r>
        <w:rPr>
          <w:rFonts w:hint="eastAsia" w:ascii="宋体" w:hAnsi="宋体" w:eastAsia="宋体" w:cs="宋体"/>
          <w:color w:val="000000" w:themeColor="text1"/>
        </w:rPr>
        <w:fldChar w:fldCharType="begin"/>
      </w:r>
      <w:r>
        <w:rPr>
          <w:rFonts w:hint="eastAsia" w:ascii="宋体" w:hAnsi="宋体" w:eastAsia="宋体" w:cs="宋体"/>
        </w:rPr>
        <w:instrText xml:space="preserve"> HYPERLINK \l _Toc15351 </w:instrText>
      </w:r>
      <w:r>
        <w:rPr>
          <w:rFonts w:hint="eastAsia" w:ascii="宋体" w:hAnsi="宋体" w:eastAsia="宋体" w:cs="宋体"/>
          <w:color w:val="auto"/>
        </w:rPr>
        <w:fldChar w:fldCharType="separate"/>
      </w:r>
      <w:r>
        <w:rPr>
          <w:rFonts w:hint="eastAsia" w:ascii="宋体" w:hAnsi="宋体" w:eastAsia="宋体" w:cs="宋体"/>
          <w:szCs w:val="32"/>
        </w:rPr>
        <w:t>前言</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_Toc15351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color w:val="000000" w:themeColor="text1"/>
        </w:rPr>
        <w:fldChar w:fldCharType="end"/>
      </w:r>
    </w:p>
    <w:p w14:paraId="48A585BD">
      <w:pPr>
        <w:pStyle w:val="25"/>
        <w:tabs>
          <w:tab w:val="right" w:leader="dot" w:pos="8306"/>
          <w:tab w:val="clear" w:pos="1260"/>
          <w:tab w:val="clear" w:pos="8296"/>
        </w:tabs>
        <w:rPr>
          <w:rFonts w:hint="eastAsia" w:ascii="宋体" w:hAnsi="宋体" w:eastAsia="宋体" w:cs="宋体"/>
        </w:rPr>
      </w:pPr>
      <w:r>
        <w:rPr>
          <w:rFonts w:hint="eastAsia" w:ascii="宋体" w:hAnsi="宋体" w:eastAsia="宋体" w:cs="宋体"/>
          <w:color w:val="000000" w:themeColor="text1"/>
        </w:rPr>
        <w:fldChar w:fldCharType="begin"/>
      </w:r>
      <w:r>
        <w:rPr>
          <w:rFonts w:hint="eastAsia" w:ascii="宋体" w:hAnsi="宋体" w:eastAsia="宋体" w:cs="宋体"/>
        </w:rPr>
        <w:instrText xml:space="preserve"> HYPERLINK \l _Toc31885 </w:instrText>
      </w:r>
      <w:r>
        <w:rPr>
          <w:rFonts w:hint="eastAsia" w:ascii="宋体" w:hAnsi="宋体" w:eastAsia="宋体" w:cs="宋体"/>
          <w:color w:val="auto"/>
        </w:rPr>
        <w:fldChar w:fldCharType="separate"/>
      </w:r>
      <w:r>
        <w:rPr>
          <w:rFonts w:hint="eastAsia" w:ascii="宋体" w:hAnsi="宋体" w:eastAsia="宋体" w:cs="宋体"/>
          <w:szCs w:val="32"/>
        </w:rPr>
        <w:t>第一章 总则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_Toc31885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color w:val="000000" w:themeColor="text1"/>
        </w:rPr>
        <w:fldChar w:fldCharType="end"/>
      </w:r>
    </w:p>
    <w:p w14:paraId="147EF852">
      <w:pPr>
        <w:pStyle w:val="25"/>
        <w:tabs>
          <w:tab w:val="right" w:leader="dot" w:pos="8306"/>
          <w:tab w:val="clear" w:pos="1260"/>
          <w:tab w:val="clear" w:pos="8296"/>
        </w:tabs>
        <w:rPr>
          <w:rFonts w:hint="eastAsia" w:ascii="宋体" w:hAnsi="宋体" w:eastAsia="宋体" w:cs="宋体"/>
        </w:rPr>
      </w:pPr>
      <w:r>
        <w:rPr>
          <w:rFonts w:hint="eastAsia" w:ascii="宋体" w:hAnsi="宋体" w:eastAsia="宋体" w:cs="宋体"/>
          <w:color w:val="000000" w:themeColor="text1"/>
        </w:rPr>
        <w:fldChar w:fldCharType="begin"/>
      </w:r>
      <w:r>
        <w:rPr>
          <w:rFonts w:hint="eastAsia" w:ascii="宋体" w:hAnsi="宋体" w:eastAsia="宋体" w:cs="宋体"/>
        </w:rPr>
        <w:instrText xml:space="preserve"> HYPERLINK \l _Toc6454 </w:instrText>
      </w:r>
      <w:r>
        <w:rPr>
          <w:rFonts w:hint="eastAsia" w:ascii="宋体" w:hAnsi="宋体" w:eastAsia="宋体" w:cs="宋体"/>
          <w:color w:val="auto"/>
        </w:rPr>
        <w:fldChar w:fldCharType="separate"/>
      </w:r>
      <w:r>
        <w:rPr>
          <w:rFonts w:hint="eastAsia" w:ascii="宋体" w:hAnsi="宋体" w:eastAsia="宋体" w:cs="宋体"/>
          <w:szCs w:val="32"/>
        </w:rPr>
        <w:t>第二章 现状分析与问题挑战</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_Toc6454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color w:val="000000" w:themeColor="text1"/>
        </w:rPr>
        <w:fldChar w:fldCharType="end"/>
      </w:r>
    </w:p>
    <w:p w14:paraId="541A3600">
      <w:pPr>
        <w:pStyle w:val="25"/>
        <w:tabs>
          <w:tab w:val="right" w:leader="dot" w:pos="8306"/>
          <w:tab w:val="clear" w:pos="1260"/>
          <w:tab w:val="clear" w:pos="8296"/>
        </w:tabs>
        <w:rPr>
          <w:rFonts w:hint="eastAsia" w:ascii="宋体" w:hAnsi="宋体" w:eastAsia="宋体" w:cs="宋体"/>
        </w:rPr>
      </w:pPr>
      <w:r>
        <w:rPr>
          <w:rFonts w:hint="eastAsia" w:ascii="宋体" w:hAnsi="宋体" w:eastAsia="宋体" w:cs="宋体"/>
          <w:color w:val="000000" w:themeColor="text1"/>
        </w:rPr>
        <w:fldChar w:fldCharType="begin"/>
      </w:r>
      <w:r>
        <w:rPr>
          <w:rFonts w:hint="eastAsia" w:ascii="宋体" w:hAnsi="宋体" w:eastAsia="宋体" w:cs="宋体"/>
        </w:rPr>
        <w:instrText xml:space="preserve"> HYPERLINK \l _Toc19820 </w:instrText>
      </w:r>
      <w:r>
        <w:rPr>
          <w:rFonts w:hint="eastAsia" w:ascii="宋体" w:hAnsi="宋体" w:eastAsia="宋体" w:cs="宋体"/>
          <w:color w:val="auto"/>
        </w:rPr>
        <w:fldChar w:fldCharType="separate"/>
      </w:r>
      <w:r>
        <w:rPr>
          <w:rFonts w:hint="eastAsia" w:ascii="宋体" w:hAnsi="宋体" w:eastAsia="宋体" w:cs="宋体"/>
          <w:szCs w:val="32"/>
        </w:rPr>
        <w:t>第三章 城市性质与目标战略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_Toc19820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color w:val="000000" w:themeColor="text1"/>
        </w:rPr>
        <w:fldChar w:fldCharType="end"/>
      </w:r>
    </w:p>
    <w:p w14:paraId="1523A51D">
      <w:pPr>
        <w:pStyle w:val="25"/>
        <w:tabs>
          <w:tab w:val="right" w:leader="dot" w:pos="8306"/>
          <w:tab w:val="clear" w:pos="1260"/>
          <w:tab w:val="clear" w:pos="8296"/>
        </w:tabs>
        <w:rPr>
          <w:rFonts w:hint="eastAsia" w:ascii="宋体" w:hAnsi="宋体" w:eastAsia="宋体" w:cs="宋体"/>
        </w:rPr>
      </w:pPr>
      <w:r>
        <w:rPr>
          <w:rFonts w:hint="eastAsia" w:ascii="宋体" w:hAnsi="宋体" w:eastAsia="宋体" w:cs="宋体"/>
          <w:color w:val="000000" w:themeColor="text1"/>
        </w:rPr>
        <w:fldChar w:fldCharType="begin"/>
      </w:r>
      <w:r>
        <w:rPr>
          <w:rFonts w:hint="eastAsia" w:ascii="宋体" w:hAnsi="宋体" w:eastAsia="宋体" w:cs="宋体"/>
        </w:rPr>
        <w:instrText xml:space="preserve"> HYPERLINK \l _Toc25065 </w:instrText>
      </w:r>
      <w:r>
        <w:rPr>
          <w:rFonts w:hint="eastAsia" w:ascii="宋体" w:hAnsi="宋体" w:eastAsia="宋体" w:cs="宋体"/>
          <w:color w:val="auto"/>
        </w:rPr>
        <w:fldChar w:fldCharType="separate"/>
      </w:r>
      <w:r>
        <w:rPr>
          <w:rFonts w:hint="eastAsia" w:ascii="宋体" w:hAnsi="宋体" w:eastAsia="宋体" w:cs="宋体"/>
          <w:szCs w:val="32"/>
        </w:rPr>
        <w:t>第四章 国土空间总体格局</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_Toc25065 \h </w:instrText>
      </w:r>
      <w:r>
        <w:rPr>
          <w:rFonts w:hint="eastAsia" w:ascii="宋体" w:hAnsi="宋体" w:eastAsia="宋体" w:cs="宋体"/>
        </w:rPr>
        <w:fldChar w:fldCharType="separate"/>
      </w:r>
      <w:r>
        <w:rPr>
          <w:rFonts w:hint="eastAsia" w:ascii="宋体" w:hAnsi="宋体" w:eastAsia="宋体" w:cs="宋体"/>
        </w:rPr>
        <w:t>12</w:t>
      </w:r>
      <w:r>
        <w:rPr>
          <w:rFonts w:hint="eastAsia" w:ascii="宋体" w:hAnsi="宋体" w:eastAsia="宋体" w:cs="宋体"/>
        </w:rPr>
        <w:fldChar w:fldCharType="end"/>
      </w:r>
      <w:r>
        <w:rPr>
          <w:rFonts w:hint="eastAsia" w:ascii="宋体" w:hAnsi="宋体" w:eastAsia="宋体" w:cs="宋体"/>
          <w:color w:val="000000" w:themeColor="text1"/>
        </w:rPr>
        <w:fldChar w:fldCharType="end"/>
      </w:r>
    </w:p>
    <w:p w14:paraId="32203775">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_Toc25093 </w:instrText>
      </w:r>
      <w:r>
        <w:rPr>
          <w:rFonts w:hint="eastAsia" w:ascii="宋体" w:hAnsi="宋体" w:eastAsia="宋体" w:cs="宋体"/>
          <w:bCs/>
          <w:caps/>
          <w:color w:val="auto"/>
          <w:szCs w:val="32"/>
        </w:rPr>
        <w:fldChar w:fldCharType="separate"/>
      </w:r>
      <w:r>
        <w:rPr>
          <w:rFonts w:hint="eastAsia" w:ascii="宋体" w:hAnsi="宋体" w:eastAsia="宋体" w:cs="宋体"/>
        </w:rPr>
        <w:t>第一节 三条控制线划定与管控</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_Toc25093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12</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42541BBA">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_Toc30250 </w:instrText>
      </w:r>
      <w:r>
        <w:rPr>
          <w:rFonts w:hint="eastAsia" w:ascii="宋体" w:hAnsi="宋体" w:eastAsia="宋体" w:cs="宋体"/>
          <w:bCs/>
          <w:caps/>
          <w:color w:val="auto"/>
          <w:szCs w:val="32"/>
        </w:rPr>
        <w:fldChar w:fldCharType="separate"/>
      </w:r>
      <w:r>
        <w:rPr>
          <w:rFonts w:hint="eastAsia" w:ascii="宋体" w:hAnsi="宋体" w:eastAsia="宋体" w:cs="宋体"/>
        </w:rPr>
        <w:t>第二节 国土空间开发保护格局</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_Toc30250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15</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6A0E2AC4">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_Toc21689 </w:instrText>
      </w:r>
      <w:r>
        <w:rPr>
          <w:rFonts w:hint="eastAsia" w:ascii="宋体" w:hAnsi="宋体" w:eastAsia="宋体" w:cs="宋体"/>
          <w:bCs/>
          <w:caps/>
          <w:color w:val="auto"/>
          <w:szCs w:val="32"/>
        </w:rPr>
        <w:fldChar w:fldCharType="separate"/>
      </w:r>
      <w:r>
        <w:rPr>
          <w:rFonts w:hint="eastAsia" w:ascii="宋体" w:hAnsi="宋体" w:eastAsia="宋体" w:cs="宋体"/>
        </w:rPr>
        <w:t>第三节 规划分区管控</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_Toc21689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16</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45667216">
      <w:pPr>
        <w:pStyle w:val="25"/>
        <w:tabs>
          <w:tab w:val="right" w:leader="dot" w:pos="8306"/>
          <w:tab w:val="clear" w:pos="1260"/>
          <w:tab w:val="clear" w:pos="8296"/>
        </w:tabs>
        <w:rPr>
          <w:rFonts w:hint="eastAsia" w:ascii="宋体" w:hAnsi="宋体" w:eastAsia="宋体" w:cs="宋体"/>
        </w:rPr>
      </w:pPr>
      <w:r>
        <w:rPr>
          <w:rFonts w:hint="eastAsia" w:ascii="宋体" w:hAnsi="宋体" w:eastAsia="宋体" w:cs="宋体"/>
          <w:color w:val="000000" w:themeColor="text1"/>
        </w:rPr>
        <w:fldChar w:fldCharType="begin"/>
      </w:r>
      <w:r>
        <w:rPr>
          <w:rFonts w:hint="eastAsia" w:ascii="宋体" w:hAnsi="宋体" w:eastAsia="宋体" w:cs="宋体"/>
        </w:rPr>
        <w:instrText xml:space="preserve"> HYPERLINK \l _Toc7874 </w:instrText>
      </w:r>
      <w:r>
        <w:rPr>
          <w:rFonts w:hint="eastAsia" w:ascii="宋体" w:hAnsi="宋体" w:eastAsia="宋体" w:cs="宋体"/>
        </w:rPr>
        <w:fldChar w:fldCharType="separate"/>
      </w:r>
      <w:r>
        <w:rPr>
          <w:rFonts w:hint="eastAsia" w:ascii="宋体" w:hAnsi="宋体" w:eastAsia="宋体" w:cs="宋体"/>
          <w:szCs w:val="32"/>
        </w:rPr>
        <w:t>第五章 农业空间与乡村振兴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_Toc7874 \h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rPr>
        <w:fldChar w:fldCharType="end"/>
      </w:r>
      <w:r>
        <w:rPr>
          <w:rFonts w:hint="eastAsia" w:ascii="宋体" w:hAnsi="宋体" w:eastAsia="宋体" w:cs="宋体"/>
          <w:color w:val="000000" w:themeColor="text1"/>
        </w:rPr>
        <w:fldChar w:fldCharType="end"/>
      </w:r>
    </w:p>
    <w:p w14:paraId="55DCAA3D">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val="0"/>
          <w:caps w:val="0"/>
          <w:color w:val="auto"/>
          <w:szCs w:val="21"/>
        </w:rPr>
        <w:fldChar w:fldCharType="begin"/>
      </w:r>
      <w:r>
        <w:rPr>
          <w:rFonts w:hint="eastAsia" w:ascii="宋体" w:hAnsi="宋体" w:eastAsia="宋体" w:cs="宋体"/>
          <w:bCs w:val="0"/>
          <w:caps w:val="0"/>
          <w:szCs w:val="21"/>
        </w:rPr>
        <w:instrText xml:space="preserve"> HYPERLINK \l _Toc11125 </w:instrText>
      </w:r>
      <w:r>
        <w:rPr>
          <w:rFonts w:hint="eastAsia" w:ascii="宋体" w:hAnsi="宋体" w:eastAsia="宋体" w:cs="宋体"/>
          <w:bCs w:val="0"/>
          <w:caps w:val="0"/>
          <w:color w:val="auto"/>
          <w:szCs w:val="21"/>
        </w:rPr>
        <w:fldChar w:fldCharType="separate"/>
      </w:r>
      <w:r>
        <w:rPr>
          <w:rFonts w:hint="eastAsia" w:ascii="宋体" w:hAnsi="宋体" w:eastAsia="宋体" w:cs="宋体"/>
        </w:rPr>
        <w:t>第一节 农业空间格局</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_Toc11125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17</w:t>
      </w:r>
      <w:r>
        <w:rPr>
          <w:rFonts w:hint="eastAsia" w:ascii="宋体" w:hAnsi="宋体" w:eastAsia="宋体" w:cs="宋体"/>
          <w:bCs/>
          <w:caps/>
          <w:kern w:val="2"/>
          <w:szCs w:val="32"/>
        </w:rPr>
        <w:fldChar w:fldCharType="end"/>
      </w:r>
      <w:r>
        <w:rPr>
          <w:rFonts w:hint="eastAsia" w:ascii="宋体" w:hAnsi="宋体" w:eastAsia="宋体" w:cs="宋体"/>
          <w:bCs w:val="0"/>
          <w:caps w:val="0"/>
          <w:color w:val="auto"/>
          <w:szCs w:val="21"/>
        </w:rPr>
        <w:fldChar w:fldCharType="end"/>
      </w:r>
    </w:p>
    <w:p w14:paraId="344C2383">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val="0"/>
          <w:caps w:val="0"/>
          <w:color w:val="auto"/>
          <w:szCs w:val="21"/>
        </w:rPr>
        <w:fldChar w:fldCharType="begin"/>
      </w:r>
      <w:r>
        <w:rPr>
          <w:rFonts w:hint="eastAsia" w:ascii="宋体" w:hAnsi="宋体" w:eastAsia="宋体" w:cs="宋体"/>
          <w:bCs w:val="0"/>
          <w:caps w:val="0"/>
          <w:szCs w:val="21"/>
        </w:rPr>
        <w:instrText xml:space="preserve"> HYPERLINK \l _Toc12581 </w:instrText>
      </w:r>
      <w:r>
        <w:rPr>
          <w:rFonts w:hint="eastAsia" w:ascii="宋体" w:hAnsi="宋体" w:eastAsia="宋体" w:cs="宋体"/>
          <w:bCs w:val="0"/>
          <w:caps w:val="0"/>
          <w:color w:val="auto"/>
          <w:szCs w:val="21"/>
        </w:rPr>
        <w:fldChar w:fldCharType="separate"/>
      </w:r>
      <w:r>
        <w:rPr>
          <w:rFonts w:hint="eastAsia" w:ascii="宋体" w:hAnsi="宋体" w:eastAsia="宋体" w:cs="宋体"/>
        </w:rPr>
        <w:t>第二节 耕地保护</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_Toc12581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17</w:t>
      </w:r>
      <w:r>
        <w:rPr>
          <w:rFonts w:hint="eastAsia" w:ascii="宋体" w:hAnsi="宋体" w:eastAsia="宋体" w:cs="宋体"/>
          <w:bCs/>
          <w:caps/>
          <w:kern w:val="2"/>
          <w:szCs w:val="32"/>
        </w:rPr>
        <w:fldChar w:fldCharType="end"/>
      </w:r>
      <w:r>
        <w:rPr>
          <w:rFonts w:hint="eastAsia" w:ascii="宋体" w:hAnsi="宋体" w:eastAsia="宋体" w:cs="宋体"/>
          <w:bCs w:val="0"/>
          <w:caps w:val="0"/>
          <w:color w:val="auto"/>
          <w:szCs w:val="21"/>
        </w:rPr>
        <w:fldChar w:fldCharType="end"/>
      </w:r>
    </w:p>
    <w:p w14:paraId="2C38AF06">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val="0"/>
          <w:caps w:val="0"/>
          <w:color w:val="auto"/>
          <w:szCs w:val="21"/>
        </w:rPr>
        <w:fldChar w:fldCharType="begin"/>
      </w:r>
      <w:r>
        <w:rPr>
          <w:rFonts w:hint="eastAsia" w:ascii="宋体" w:hAnsi="宋体" w:eastAsia="宋体" w:cs="宋体"/>
          <w:bCs w:val="0"/>
          <w:caps w:val="0"/>
          <w:szCs w:val="21"/>
        </w:rPr>
        <w:instrText xml:space="preserve"> HYPERLINK \l _Toc6189 </w:instrText>
      </w:r>
      <w:r>
        <w:rPr>
          <w:rFonts w:hint="eastAsia" w:ascii="宋体" w:hAnsi="宋体" w:eastAsia="宋体" w:cs="宋体"/>
          <w:bCs w:val="0"/>
          <w:caps w:val="0"/>
          <w:color w:val="auto"/>
          <w:szCs w:val="21"/>
        </w:rPr>
        <w:fldChar w:fldCharType="separate"/>
      </w:r>
      <w:r>
        <w:rPr>
          <w:rFonts w:hint="eastAsia" w:ascii="宋体" w:hAnsi="宋体" w:eastAsia="宋体" w:cs="宋体"/>
        </w:rPr>
        <w:t>第三节 乡村振兴</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_Toc6189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21</w:t>
      </w:r>
      <w:r>
        <w:rPr>
          <w:rFonts w:hint="eastAsia" w:ascii="宋体" w:hAnsi="宋体" w:eastAsia="宋体" w:cs="宋体"/>
          <w:bCs/>
          <w:caps/>
          <w:kern w:val="2"/>
          <w:szCs w:val="32"/>
        </w:rPr>
        <w:fldChar w:fldCharType="end"/>
      </w:r>
      <w:r>
        <w:rPr>
          <w:rFonts w:hint="eastAsia" w:ascii="宋体" w:hAnsi="宋体" w:eastAsia="宋体" w:cs="宋体"/>
          <w:bCs w:val="0"/>
          <w:caps w:val="0"/>
          <w:color w:val="auto"/>
          <w:szCs w:val="21"/>
        </w:rPr>
        <w:fldChar w:fldCharType="end"/>
      </w:r>
    </w:p>
    <w:p w14:paraId="7BA81FDC">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val="0"/>
          <w:caps w:val="0"/>
          <w:color w:val="auto"/>
          <w:szCs w:val="21"/>
        </w:rPr>
        <w:fldChar w:fldCharType="begin"/>
      </w:r>
      <w:r>
        <w:rPr>
          <w:rFonts w:hint="eastAsia" w:ascii="宋体" w:hAnsi="宋体" w:eastAsia="宋体" w:cs="宋体"/>
          <w:bCs w:val="0"/>
          <w:caps w:val="0"/>
          <w:szCs w:val="21"/>
        </w:rPr>
        <w:instrText xml:space="preserve"> HYPERLINK \l _Toc18558 </w:instrText>
      </w:r>
      <w:r>
        <w:rPr>
          <w:rFonts w:hint="eastAsia" w:ascii="宋体" w:hAnsi="宋体" w:eastAsia="宋体" w:cs="宋体"/>
          <w:bCs w:val="0"/>
          <w:caps w:val="0"/>
          <w:color w:val="auto"/>
          <w:szCs w:val="21"/>
        </w:rPr>
        <w:fldChar w:fldCharType="separate"/>
      </w:r>
      <w:r>
        <w:rPr>
          <w:rFonts w:hint="eastAsia" w:ascii="宋体" w:hAnsi="宋体" w:eastAsia="宋体" w:cs="宋体"/>
        </w:rPr>
        <w:t>第四节 农村土地综合整治</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_Toc18558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23</w:t>
      </w:r>
      <w:r>
        <w:rPr>
          <w:rFonts w:hint="eastAsia" w:ascii="宋体" w:hAnsi="宋体" w:eastAsia="宋体" w:cs="宋体"/>
          <w:bCs/>
          <w:caps/>
          <w:kern w:val="2"/>
          <w:szCs w:val="32"/>
        </w:rPr>
        <w:fldChar w:fldCharType="end"/>
      </w:r>
      <w:r>
        <w:rPr>
          <w:rFonts w:hint="eastAsia" w:ascii="宋体" w:hAnsi="宋体" w:eastAsia="宋体" w:cs="宋体"/>
          <w:bCs w:val="0"/>
          <w:caps w:val="0"/>
          <w:color w:val="auto"/>
          <w:szCs w:val="21"/>
        </w:rPr>
        <w:fldChar w:fldCharType="end"/>
      </w:r>
    </w:p>
    <w:p w14:paraId="34B28135">
      <w:pPr>
        <w:pStyle w:val="25"/>
        <w:tabs>
          <w:tab w:val="right" w:leader="dot" w:pos="8306"/>
          <w:tab w:val="clear" w:pos="1260"/>
          <w:tab w:val="clear" w:pos="8296"/>
        </w:tabs>
        <w:rPr>
          <w:rFonts w:hint="eastAsia" w:ascii="宋体" w:hAnsi="宋体" w:eastAsia="宋体" w:cs="宋体"/>
        </w:rPr>
      </w:pPr>
      <w:r>
        <w:rPr>
          <w:rFonts w:hint="eastAsia" w:ascii="宋体" w:hAnsi="宋体" w:eastAsia="宋体" w:cs="宋体"/>
          <w:color w:val="auto"/>
        </w:rPr>
        <w:fldChar w:fldCharType="begin"/>
      </w:r>
      <w:r>
        <w:rPr>
          <w:rFonts w:hint="eastAsia" w:ascii="宋体" w:hAnsi="宋体" w:eastAsia="宋体" w:cs="宋体"/>
        </w:rPr>
        <w:instrText xml:space="preserve"> HYPERLINK \l _Toc24127 </w:instrText>
      </w:r>
      <w:r>
        <w:rPr>
          <w:rFonts w:hint="eastAsia" w:ascii="宋体" w:hAnsi="宋体" w:eastAsia="宋体" w:cs="宋体"/>
          <w:color w:val="auto"/>
        </w:rPr>
        <w:fldChar w:fldCharType="separate"/>
      </w:r>
      <w:r>
        <w:rPr>
          <w:rFonts w:hint="eastAsia" w:ascii="宋体" w:hAnsi="宋体" w:eastAsia="宋体" w:cs="宋体"/>
          <w:szCs w:val="32"/>
        </w:rPr>
        <w:t>第六章 生态空间与自然资源保护利用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_Toc24127 \h </w:instrText>
      </w:r>
      <w:r>
        <w:rPr>
          <w:rFonts w:hint="eastAsia" w:ascii="宋体" w:hAnsi="宋体" w:eastAsia="宋体" w:cs="宋体"/>
        </w:rPr>
        <w:fldChar w:fldCharType="separate"/>
      </w:r>
      <w:r>
        <w:rPr>
          <w:rFonts w:hint="eastAsia" w:ascii="宋体" w:hAnsi="宋体" w:eastAsia="宋体" w:cs="宋体"/>
        </w:rPr>
        <w:t>25</w:t>
      </w:r>
      <w:r>
        <w:rPr>
          <w:rFonts w:hint="eastAsia" w:ascii="宋体" w:hAnsi="宋体" w:eastAsia="宋体" w:cs="宋体"/>
        </w:rPr>
        <w:fldChar w:fldCharType="end"/>
      </w:r>
      <w:r>
        <w:rPr>
          <w:rFonts w:hint="eastAsia" w:ascii="宋体" w:hAnsi="宋体" w:eastAsia="宋体" w:cs="宋体"/>
          <w:color w:val="auto"/>
        </w:rPr>
        <w:fldChar w:fldCharType="end"/>
      </w:r>
    </w:p>
    <w:p w14:paraId="0A1D0097">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_Toc25612 </w:instrText>
      </w:r>
      <w:r>
        <w:rPr>
          <w:rFonts w:hint="eastAsia" w:ascii="宋体" w:hAnsi="宋体" w:eastAsia="宋体" w:cs="宋体"/>
          <w:bCs/>
          <w:caps/>
          <w:color w:val="auto"/>
          <w:szCs w:val="32"/>
        </w:rPr>
        <w:fldChar w:fldCharType="separate"/>
      </w:r>
      <w:r>
        <w:rPr>
          <w:rFonts w:hint="eastAsia" w:ascii="宋体" w:hAnsi="宋体" w:eastAsia="宋体" w:cs="宋体"/>
        </w:rPr>
        <w:t>第一节 生态安全格局</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_Toc25612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25</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5335071A">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_Toc3044 </w:instrText>
      </w:r>
      <w:r>
        <w:rPr>
          <w:rFonts w:hint="eastAsia" w:ascii="宋体" w:hAnsi="宋体" w:eastAsia="宋体" w:cs="宋体"/>
          <w:bCs/>
          <w:caps/>
          <w:color w:val="auto"/>
          <w:szCs w:val="32"/>
        </w:rPr>
        <w:fldChar w:fldCharType="separate"/>
      </w:r>
      <w:r>
        <w:rPr>
          <w:rFonts w:hint="eastAsia" w:ascii="宋体" w:hAnsi="宋体" w:eastAsia="宋体" w:cs="宋体"/>
        </w:rPr>
        <w:t>第二节 自然资源保护与利用</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_Toc3044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26</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7C9849BC">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_Toc32084 </w:instrText>
      </w:r>
      <w:r>
        <w:rPr>
          <w:rFonts w:hint="eastAsia" w:ascii="宋体" w:hAnsi="宋体" w:eastAsia="宋体" w:cs="宋体"/>
          <w:bCs/>
          <w:caps/>
          <w:color w:val="auto"/>
          <w:szCs w:val="32"/>
        </w:rPr>
        <w:fldChar w:fldCharType="separate"/>
      </w:r>
      <w:r>
        <w:rPr>
          <w:rFonts w:hint="eastAsia" w:ascii="宋体" w:hAnsi="宋体" w:eastAsia="宋体" w:cs="宋体"/>
        </w:rPr>
        <w:t>第三节 生态修复</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_Toc32084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30</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5EC3954B">
      <w:pPr>
        <w:pStyle w:val="25"/>
        <w:tabs>
          <w:tab w:val="right" w:leader="dot" w:pos="8306"/>
          <w:tab w:val="clear" w:pos="1260"/>
          <w:tab w:val="clear" w:pos="8296"/>
        </w:tabs>
        <w:rPr>
          <w:rFonts w:hint="eastAsia" w:ascii="宋体" w:hAnsi="宋体" w:eastAsia="宋体" w:cs="宋体"/>
        </w:rPr>
      </w:pPr>
      <w:r>
        <w:rPr>
          <w:rFonts w:hint="eastAsia" w:ascii="宋体" w:hAnsi="宋体" w:eastAsia="宋体" w:cs="宋体"/>
          <w:color w:val="000000" w:themeColor="text1"/>
        </w:rPr>
        <w:fldChar w:fldCharType="begin"/>
      </w:r>
      <w:r>
        <w:rPr>
          <w:rFonts w:hint="eastAsia" w:ascii="宋体" w:hAnsi="宋体" w:eastAsia="宋体" w:cs="宋体"/>
        </w:rPr>
        <w:instrText xml:space="preserve"> HYPERLINK \l _Toc28685 </w:instrText>
      </w:r>
      <w:r>
        <w:rPr>
          <w:rFonts w:hint="eastAsia" w:ascii="宋体" w:hAnsi="宋体" w:eastAsia="宋体" w:cs="宋体"/>
          <w:color w:val="auto"/>
        </w:rPr>
        <w:fldChar w:fldCharType="separate"/>
      </w:r>
      <w:r>
        <w:rPr>
          <w:rFonts w:hint="eastAsia" w:ascii="宋体" w:hAnsi="宋体" w:eastAsia="宋体" w:cs="宋体"/>
          <w:szCs w:val="32"/>
        </w:rPr>
        <w:t>第七章 城镇空间与功能布局完善</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_Toc28685 \h </w:instrText>
      </w:r>
      <w:r>
        <w:rPr>
          <w:rFonts w:hint="eastAsia" w:ascii="宋体" w:hAnsi="宋体" w:eastAsia="宋体" w:cs="宋体"/>
        </w:rPr>
        <w:fldChar w:fldCharType="separate"/>
      </w:r>
      <w:r>
        <w:rPr>
          <w:rFonts w:hint="eastAsia" w:ascii="宋体" w:hAnsi="宋体" w:eastAsia="宋体" w:cs="宋体"/>
        </w:rPr>
        <w:t>32</w:t>
      </w:r>
      <w:r>
        <w:rPr>
          <w:rFonts w:hint="eastAsia" w:ascii="宋体" w:hAnsi="宋体" w:eastAsia="宋体" w:cs="宋体"/>
        </w:rPr>
        <w:fldChar w:fldCharType="end"/>
      </w:r>
      <w:r>
        <w:rPr>
          <w:rFonts w:hint="eastAsia" w:ascii="宋体" w:hAnsi="宋体" w:eastAsia="宋体" w:cs="宋体"/>
          <w:color w:val="000000" w:themeColor="text1"/>
        </w:rPr>
        <w:fldChar w:fldCharType="end"/>
      </w:r>
    </w:p>
    <w:p w14:paraId="1DEDDF28">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_Toc31990 </w:instrText>
      </w:r>
      <w:r>
        <w:rPr>
          <w:rFonts w:hint="eastAsia" w:ascii="宋体" w:hAnsi="宋体" w:eastAsia="宋体" w:cs="宋体"/>
          <w:bCs/>
          <w:caps/>
          <w:color w:val="auto"/>
          <w:szCs w:val="32"/>
        </w:rPr>
        <w:fldChar w:fldCharType="separate"/>
      </w:r>
      <w:r>
        <w:rPr>
          <w:rFonts w:hint="eastAsia" w:ascii="宋体" w:hAnsi="宋体" w:eastAsia="宋体" w:cs="宋体"/>
        </w:rPr>
        <w:t>第一节 城镇空间格局</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_Toc31990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32</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3C759F15">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_Toc14443 </w:instrText>
      </w:r>
      <w:r>
        <w:rPr>
          <w:rFonts w:hint="eastAsia" w:ascii="宋体" w:hAnsi="宋体" w:eastAsia="宋体" w:cs="宋体"/>
          <w:bCs/>
          <w:caps/>
          <w:color w:val="auto"/>
          <w:szCs w:val="32"/>
        </w:rPr>
        <w:fldChar w:fldCharType="separate"/>
      </w:r>
      <w:r>
        <w:rPr>
          <w:rFonts w:hint="eastAsia" w:ascii="宋体" w:hAnsi="宋体" w:eastAsia="宋体" w:cs="宋体"/>
        </w:rPr>
        <w:t>第二节 创新与产业空间布局</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_Toc14443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35</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134E872B">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_Toc27437 </w:instrText>
      </w:r>
      <w:r>
        <w:rPr>
          <w:rFonts w:hint="eastAsia" w:ascii="宋体" w:hAnsi="宋体" w:eastAsia="宋体" w:cs="宋体"/>
          <w:bCs/>
          <w:caps/>
          <w:color w:val="auto"/>
          <w:szCs w:val="32"/>
        </w:rPr>
        <w:fldChar w:fldCharType="separate"/>
      </w:r>
      <w:r>
        <w:rPr>
          <w:rFonts w:hint="eastAsia" w:ascii="宋体" w:hAnsi="宋体" w:eastAsia="宋体" w:cs="宋体"/>
        </w:rPr>
        <w:t>第三节 公共服务设施布局</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_Toc27437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39</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422F78DC">
      <w:pPr>
        <w:pStyle w:val="25"/>
        <w:tabs>
          <w:tab w:val="right" w:leader="dot" w:pos="8306"/>
          <w:tab w:val="clear" w:pos="1260"/>
          <w:tab w:val="clear" w:pos="8296"/>
        </w:tabs>
        <w:rPr>
          <w:rFonts w:hint="eastAsia" w:ascii="宋体" w:hAnsi="宋体" w:eastAsia="宋体" w:cs="宋体"/>
        </w:rPr>
      </w:pPr>
      <w:r>
        <w:rPr>
          <w:rFonts w:hint="eastAsia" w:ascii="宋体" w:hAnsi="宋体" w:eastAsia="宋体" w:cs="宋体"/>
          <w:color w:val="000000" w:themeColor="text1"/>
        </w:rPr>
        <w:fldChar w:fldCharType="begin"/>
      </w:r>
      <w:r>
        <w:rPr>
          <w:rFonts w:hint="eastAsia" w:ascii="宋体" w:hAnsi="宋体" w:eastAsia="宋体" w:cs="宋体"/>
        </w:rPr>
        <w:instrText xml:space="preserve"> HYPERLINK \l _Toc16496 </w:instrText>
      </w:r>
      <w:r>
        <w:rPr>
          <w:rFonts w:hint="eastAsia" w:ascii="宋体" w:hAnsi="宋体" w:eastAsia="宋体" w:cs="宋体"/>
          <w:color w:val="auto"/>
        </w:rPr>
        <w:fldChar w:fldCharType="separate"/>
      </w:r>
      <w:r>
        <w:rPr>
          <w:rFonts w:hint="eastAsia" w:ascii="宋体" w:hAnsi="宋体" w:eastAsia="宋体" w:cs="宋体"/>
          <w:szCs w:val="32"/>
        </w:rPr>
        <w:t>第八章 城市空间布局优化</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_Toc16496 \h </w:instrText>
      </w:r>
      <w:r>
        <w:rPr>
          <w:rFonts w:hint="eastAsia" w:ascii="宋体" w:hAnsi="宋体" w:eastAsia="宋体" w:cs="宋体"/>
        </w:rPr>
        <w:fldChar w:fldCharType="separate"/>
      </w:r>
      <w:r>
        <w:rPr>
          <w:rFonts w:hint="eastAsia" w:ascii="宋体" w:hAnsi="宋体" w:eastAsia="宋体" w:cs="宋体"/>
        </w:rPr>
        <w:t>43</w:t>
      </w:r>
      <w:r>
        <w:rPr>
          <w:rFonts w:hint="eastAsia" w:ascii="宋体" w:hAnsi="宋体" w:eastAsia="宋体" w:cs="宋体"/>
        </w:rPr>
        <w:fldChar w:fldCharType="end"/>
      </w:r>
      <w:r>
        <w:rPr>
          <w:rFonts w:hint="eastAsia" w:ascii="宋体" w:hAnsi="宋体" w:eastAsia="宋体" w:cs="宋体"/>
          <w:color w:val="000000" w:themeColor="text1"/>
        </w:rPr>
        <w:fldChar w:fldCharType="end"/>
      </w:r>
    </w:p>
    <w:p w14:paraId="31FB7E69">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_Toc24893 </w:instrText>
      </w:r>
      <w:r>
        <w:rPr>
          <w:rFonts w:hint="eastAsia" w:ascii="宋体" w:hAnsi="宋体" w:eastAsia="宋体" w:cs="宋体"/>
          <w:bCs/>
          <w:caps/>
          <w:color w:val="auto"/>
          <w:szCs w:val="32"/>
        </w:rPr>
        <w:fldChar w:fldCharType="separate"/>
      </w:r>
      <w:r>
        <w:rPr>
          <w:rFonts w:hint="eastAsia" w:ascii="宋体" w:hAnsi="宋体" w:eastAsia="宋体" w:cs="宋体"/>
        </w:rPr>
        <w:t>第一节 市辖区空间布局</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_Toc24893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43</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0ABD28E7">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_Toc8579 </w:instrText>
      </w:r>
      <w:r>
        <w:rPr>
          <w:rFonts w:hint="eastAsia" w:ascii="宋体" w:hAnsi="宋体" w:eastAsia="宋体" w:cs="宋体"/>
          <w:bCs/>
          <w:caps/>
          <w:color w:val="auto"/>
          <w:szCs w:val="32"/>
        </w:rPr>
        <w:fldChar w:fldCharType="separate"/>
      </w:r>
      <w:r>
        <w:rPr>
          <w:rFonts w:hint="eastAsia" w:ascii="宋体" w:hAnsi="宋体" w:eastAsia="宋体" w:cs="宋体"/>
        </w:rPr>
        <w:t>第二节 中心城区功能布局</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_Toc8579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45</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35D8F89A">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_Toc11099 </w:instrText>
      </w:r>
      <w:r>
        <w:rPr>
          <w:rFonts w:hint="eastAsia" w:ascii="宋体" w:hAnsi="宋体" w:eastAsia="宋体" w:cs="宋体"/>
          <w:bCs/>
          <w:caps/>
          <w:color w:val="auto"/>
          <w:szCs w:val="32"/>
        </w:rPr>
        <w:fldChar w:fldCharType="separate"/>
      </w:r>
      <w:r>
        <w:rPr>
          <w:rFonts w:hint="eastAsia" w:ascii="宋体" w:hAnsi="宋体" w:eastAsia="宋体" w:cs="宋体"/>
        </w:rPr>
        <w:t>第三节 中心城区公共服务与居住空间</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_Toc11099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48</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383113DC">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_Toc21960 </w:instrText>
      </w:r>
      <w:r>
        <w:rPr>
          <w:rFonts w:hint="eastAsia" w:ascii="宋体" w:hAnsi="宋体" w:eastAsia="宋体" w:cs="宋体"/>
          <w:bCs/>
          <w:caps/>
          <w:color w:val="auto"/>
          <w:szCs w:val="32"/>
        </w:rPr>
        <w:fldChar w:fldCharType="separate"/>
      </w:r>
      <w:r>
        <w:rPr>
          <w:rFonts w:hint="eastAsia" w:ascii="宋体" w:hAnsi="宋体" w:eastAsia="宋体" w:cs="宋体"/>
        </w:rPr>
        <w:t>第四节 开敞空间</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_Toc21960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51</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4FFD1836">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_Toc18134 </w:instrText>
      </w:r>
      <w:r>
        <w:rPr>
          <w:rFonts w:hint="eastAsia" w:ascii="宋体" w:hAnsi="宋体" w:eastAsia="宋体" w:cs="宋体"/>
          <w:bCs/>
          <w:caps/>
          <w:color w:val="auto"/>
          <w:szCs w:val="32"/>
        </w:rPr>
        <w:fldChar w:fldCharType="separate"/>
      </w:r>
      <w:r>
        <w:rPr>
          <w:rFonts w:hint="eastAsia" w:ascii="宋体" w:hAnsi="宋体" w:eastAsia="宋体" w:cs="宋体"/>
        </w:rPr>
        <w:t>第五节 特色魅力空间</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_Toc18134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53</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50590307">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_Toc2594 </w:instrText>
      </w:r>
      <w:r>
        <w:rPr>
          <w:rFonts w:hint="eastAsia" w:ascii="宋体" w:hAnsi="宋体" w:eastAsia="宋体" w:cs="宋体"/>
          <w:bCs/>
          <w:caps/>
          <w:color w:val="auto"/>
          <w:szCs w:val="32"/>
        </w:rPr>
        <w:fldChar w:fldCharType="separate"/>
      </w:r>
      <w:r>
        <w:rPr>
          <w:rFonts w:hint="eastAsia" w:ascii="宋体" w:hAnsi="宋体" w:eastAsia="宋体" w:cs="宋体"/>
        </w:rPr>
        <w:t>第六节 城市控制线管控</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_Toc2594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56</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6CEF588F">
      <w:pPr>
        <w:pStyle w:val="25"/>
        <w:tabs>
          <w:tab w:val="right" w:leader="dot" w:pos="8306"/>
          <w:tab w:val="clear" w:pos="1260"/>
          <w:tab w:val="clear" w:pos="8296"/>
        </w:tabs>
        <w:rPr>
          <w:rFonts w:hint="eastAsia" w:ascii="宋体" w:hAnsi="宋体" w:eastAsia="宋体" w:cs="宋体"/>
        </w:rPr>
      </w:pPr>
      <w:r>
        <w:rPr>
          <w:rFonts w:hint="eastAsia" w:ascii="宋体" w:hAnsi="宋体" w:eastAsia="宋体" w:cs="宋体"/>
          <w:color w:val="000000" w:themeColor="text1"/>
        </w:rPr>
        <w:fldChar w:fldCharType="begin"/>
      </w:r>
      <w:r>
        <w:rPr>
          <w:rFonts w:hint="eastAsia" w:ascii="宋体" w:hAnsi="宋体" w:eastAsia="宋体" w:cs="宋体"/>
        </w:rPr>
        <w:instrText xml:space="preserve"> HYPERLINK \l _Toc1672 </w:instrText>
      </w:r>
      <w:r>
        <w:rPr>
          <w:rFonts w:hint="eastAsia" w:ascii="宋体" w:hAnsi="宋体" w:eastAsia="宋体" w:cs="宋体"/>
          <w:color w:val="auto"/>
        </w:rPr>
        <w:fldChar w:fldCharType="separate"/>
      </w:r>
      <w:r>
        <w:rPr>
          <w:rFonts w:hint="eastAsia" w:ascii="宋体" w:hAnsi="宋体" w:eastAsia="宋体" w:cs="宋体"/>
          <w:szCs w:val="32"/>
        </w:rPr>
        <w:t>第九章 历史文化保护</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_Toc1672 \h </w:instrText>
      </w:r>
      <w:r>
        <w:rPr>
          <w:rFonts w:hint="eastAsia" w:ascii="宋体" w:hAnsi="宋体" w:eastAsia="宋体" w:cs="宋体"/>
        </w:rPr>
        <w:fldChar w:fldCharType="separate"/>
      </w:r>
      <w:r>
        <w:rPr>
          <w:rFonts w:hint="eastAsia" w:ascii="宋体" w:hAnsi="宋体" w:eastAsia="宋体" w:cs="宋体"/>
        </w:rPr>
        <w:t>58</w:t>
      </w:r>
      <w:r>
        <w:rPr>
          <w:rFonts w:hint="eastAsia" w:ascii="宋体" w:hAnsi="宋体" w:eastAsia="宋体" w:cs="宋体"/>
        </w:rPr>
        <w:fldChar w:fldCharType="end"/>
      </w:r>
      <w:r>
        <w:rPr>
          <w:rFonts w:hint="eastAsia" w:ascii="宋体" w:hAnsi="宋体" w:eastAsia="宋体" w:cs="宋体"/>
          <w:color w:val="000000" w:themeColor="text1"/>
        </w:rPr>
        <w:fldChar w:fldCharType="end"/>
      </w:r>
    </w:p>
    <w:p w14:paraId="750222DC">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_Toc24931 </w:instrText>
      </w:r>
      <w:r>
        <w:rPr>
          <w:rFonts w:hint="eastAsia" w:ascii="宋体" w:hAnsi="宋体" w:eastAsia="宋体" w:cs="宋体"/>
          <w:bCs/>
          <w:caps/>
          <w:color w:val="auto"/>
          <w:szCs w:val="32"/>
        </w:rPr>
        <w:fldChar w:fldCharType="separate"/>
      </w:r>
      <w:r>
        <w:rPr>
          <w:rFonts w:hint="eastAsia" w:ascii="宋体" w:hAnsi="宋体" w:eastAsia="宋体" w:cs="宋体"/>
        </w:rPr>
        <w:t>第一节 保护目标与体系</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_Toc24931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58</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4EE33B87">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_Toc14301 </w:instrText>
      </w:r>
      <w:r>
        <w:rPr>
          <w:rFonts w:hint="eastAsia" w:ascii="宋体" w:hAnsi="宋体" w:eastAsia="宋体" w:cs="宋体"/>
          <w:bCs/>
          <w:caps/>
          <w:color w:val="auto"/>
          <w:szCs w:val="32"/>
        </w:rPr>
        <w:fldChar w:fldCharType="separate"/>
      </w:r>
      <w:r>
        <w:rPr>
          <w:rFonts w:hint="eastAsia" w:ascii="宋体" w:hAnsi="宋体" w:eastAsia="宋体" w:cs="宋体"/>
        </w:rPr>
        <w:t>第二节 分类保护利用</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_Toc14301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59</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7DF3B660">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_Toc14779 </w:instrText>
      </w:r>
      <w:r>
        <w:rPr>
          <w:rFonts w:hint="eastAsia" w:ascii="宋体" w:hAnsi="宋体" w:eastAsia="宋体" w:cs="宋体"/>
          <w:bCs/>
          <w:caps/>
          <w:color w:val="auto"/>
          <w:szCs w:val="32"/>
        </w:rPr>
        <w:fldChar w:fldCharType="separate"/>
      </w:r>
      <w:r>
        <w:rPr>
          <w:rFonts w:hint="eastAsia" w:ascii="宋体" w:hAnsi="宋体" w:eastAsia="宋体" w:cs="宋体"/>
        </w:rPr>
        <w:t>第三节 大运河文化保护传承利用</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_Toc14779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62</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159B1E67">
      <w:pPr>
        <w:pStyle w:val="25"/>
        <w:tabs>
          <w:tab w:val="right" w:leader="dot" w:pos="8306"/>
          <w:tab w:val="clear" w:pos="1260"/>
          <w:tab w:val="clear" w:pos="8296"/>
        </w:tabs>
        <w:rPr>
          <w:rFonts w:hint="eastAsia" w:ascii="宋体" w:hAnsi="宋体" w:eastAsia="宋体" w:cs="宋体"/>
        </w:rPr>
      </w:pPr>
      <w:r>
        <w:rPr>
          <w:rFonts w:hint="eastAsia" w:ascii="宋体" w:hAnsi="宋体" w:eastAsia="宋体" w:cs="宋体"/>
          <w:color w:val="000000" w:themeColor="text1"/>
        </w:rPr>
        <w:fldChar w:fldCharType="begin"/>
      </w:r>
      <w:r>
        <w:rPr>
          <w:rFonts w:hint="eastAsia" w:ascii="宋体" w:hAnsi="宋体" w:eastAsia="宋体" w:cs="宋体"/>
        </w:rPr>
        <w:instrText xml:space="preserve"> HYPERLINK \l _Toc13548 </w:instrText>
      </w:r>
      <w:r>
        <w:rPr>
          <w:rFonts w:hint="eastAsia" w:ascii="宋体" w:hAnsi="宋体" w:eastAsia="宋体" w:cs="宋体"/>
          <w:color w:val="auto"/>
        </w:rPr>
        <w:fldChar w:fldCharType="separate"/>
      </w:r>
      <w:r>
        <w:rPr>
          <w:rFonts w:hint="eastAsia" w:ascii="宋体" w:hAnsi="宋体" w:eastAsia="宋体" w:cs="宋体"/>
          <w:szCs w:val="32"/>
        </w:rPr>
        <w:t>第十章 综合交通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_Toc13548 \h </w:instrText>
      </w:r>
      <w:r>
        <w:rPr>
          <w:rFonts w:hint="eastAsia" w:ascii="宋体" w:hAnsi="宋体" w:eastAsia="宋体" w:cs="宋体"/>
        </w:rPr>
        <w:fldChar w:fldCharType="separate"/>
      </w:r>
      <w:r>
        <w:rPr>
          <w:rFonts w:hint="eastAsia" w:ascii="宋体" w:hAnsi="宋体" w:eastAsia="宋体" w:cs="宋体"/>
        </w:rPr>
        <w:t>64</w:t>
      </w:r>
      <w:r>
        <w:rPr>
          <w:rFonts w:hint="eastAsia" w:ascii="宋体" w:hAnsi="宋体" w:eastAsia="宋体" w:cs="宋体"/>
        </w:rPr>
        <w:fldChar w:fldCharType="end"/>
      </w:r>
      <w:r>
        <w:rPr>
          <w:rFonts w:hint="eastAsia" w:ascii="宋体" w:hAnsi="宋体" w:eastAsia="宋体" w:cs="宋体"/>
          <w:color w:val="000000" w:themeColor="text1"/>
        </w:rPr>
        <w:fldChar w:fldCharType="end"/>
      </w:r>
    </w:p>
    <w:p w14:paraId="034D2295">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_Toc20201 </w:instrText>
      </w:r>
      <w:r>
        <w:rPr>
          <w:rFonts w:hint="eastAsia" w:ascii="宋体" w:hAnsi="宋体" w:eastAsia="宋体" w:cs="宋体"/>
          <w:bCs/>
          <w:caps/>
          <w:color w:val="auto"/>
          <w:szCs w:val="32"/>
        </w:rPr>
        <w:fldChar w:fldCharType="separate"/>
      </w:r>
      <w:r>
        <w:rPr>
          <w:rFonts w:hint="eastAsia" w:ascii="宋体" w:hAnsi="宋体" w:eastAsia="宋体" w:cs="宋体"/>
        </w:rPr>
        <w:t>第一节 交通目标与策略</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_Toc20201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64</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3E91CF17">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_Toc29812 </w:instrText>
      </w:r>
      <w:r>
        <w:rPr>
          <w:rFonts w:hint="eastAsia" w:ascii="宋体" w:hAnsi="宋体" w:eastAsia="宋体" w:cs="宋体"/>
          <w:bCs/>
          <w:caps/>
          <w:color w:val="auto"/>
          <w:szCs w:val="32"/>
        </w:rPr>
        <w:fldChar w:fldCharType="separate"/>
      </w:r>
      <w:r>
        <w:rPr>
          <w:rFonts w:hint="eastAsia" w:ascii="宋体" w:hAnsi="宋体" w:eastAsia="宋体" w:cs="宋体"/>
        </w:rPr>
        <w:t>第二节 对外交通</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_Toc29812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65</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46075020">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_Toc9919 </w:instrText>
      </w:r>
      <w:r>
        <w:rPr>
          <w:rFonts w:hint="eastAsia" w:ascii="宋体" w:hAnsi="宋体" w:eastAsia="宋体" w:cs="宋体"/>
          <w:bCs/>
          <w:caps/>
          <w:color w:val="auto"/>
          <w:szCs w:val="32"/>
        </w:rPr>
        <w:fldChar w:fldCharType="separate"/>
      </w:r>
      <w:r>
        <w:rPr>
          <w:rFonts w:hint="eastAsia" w:ascii="宋体" w:hAnsi="宋体" w:eastAsia="宋体" w:cs="宋体"/>
        </w:rPr>
        <w:t>第三节 市域交通</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_Toc9919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68</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18E25EF5">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_Toc28356 </w:instrText>
      </w:r>
      <w:r>
        <w:rPr>
          <w:rFonts w:hint="eastAsia" w:ascii="宋体" w:hAnsi="宋体" w:eastAsia="宋体" w:cs="宋体"/>
          <w:bCs/>
          <w:caps/>
          <w:color w:val="auto"/>
          <w:szCs w:val="32"/>
        </w:rPr>
        <w:fldChar w:fldCharType="separate"/>
      </w:r>
      <w:r>
        <w:rPr>
          <w:rFonts w:hint="eastAsia" w:ascii="宋体" w:hAnsi="宋体" w:eastAsia="宋体" w:cs="宋体"/>
        </w:rPr>
        <w:t>第四节 市辖区交通</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_Toc28356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69</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12DC2219">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_Toc25335 </w:instrText>
      </w:r>
      <w:r>
        <w:rPr>
          <w:rFonts w:hint="eastAsia" w:ascii="宋体" w:hAnsi="宋体" w:eastAsia="宋体" w:cs="宋体"/>
          <w:bCs/>
          <w:caps/>
          <w:color w:val="auto"/>
          <w:szCs w:val="32"/>
        </w:rPr>
        <w:fldChar w:fldCharType="separate"/>
      </w:r>
      <w:r>
        <w:rPr>
          <w:rFonts w:hint="eastAsia" w:ascii="宋体" w:hAnsi="宋体" w:eastAsia="宋体" w:cs="宋体"/>
        </w:rPr>
        <w:t>第五节 中心城区交通</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_Toc25335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70</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76BFF99E">
      <w:pPr>
        <w:pStyle w:val="25"/>
        <w:tabs>
          <w:tab w:val="right" w:leader="dot" w:pos="8306"/>
          <w:tab w:val="clear" w:pos="1260"/>
          <w:tab w:val="clear" w:pos="8296"/>
        </w:tabs>
        <w:rPr>
          <w:rFonts w:hint="eastAsia" w:ascii="宋体" w:hAnsi="宋体" w:eastAsia="宋体" w:cs="宋体"/>
        </w:rPr>
      </w:pPr>
      <w:r>
        <w:rPr>
          <w:rFonts w:hint="eastAsia" w:ascii="宋体" w:hAnsi="宋体" w:eastAsia="宋体" w:cs="宋体"/>
          <w:color w:val="000000" w:themeColor="text1"/>
        </w:rPr>
        <w:fldChar w:fldCharType="begin"/>
      </w:r>
      <w:r>
        <w:rPr>
          <w:rFonts w:hint="eastAsia" w:ascii="宋体" w:hAnsi="宋体" w:eastAsia="宋体" w:cs="宋体"/>
        </w:rPr>
        <w:instrText xml:space="preserve"> HYPERLINK \l _Toc9934 </w:instrText>
      </w:r>
      <w:r>
        <w:rPr>
          <w:rFonts w:hint="eastAsia" w:ascii="宋体" w:hAnsi="宋体" w:eastAsia="宋体" w:cs="宋体"/>
          <w:color w:val="auto"/>
        </w:rPr>
        <w:fldChar w:fldCharType="separate"/>
      </w:r>
      <w:r>
        <w:rPr>
          <w:rFonts w:hint="eastAsia" w:ascii="宋体" w:hAnsi="宋体" w:eastAsia="宋体" w:cs="宋体"/>
          <w:szCs w:val="32"/>
        </w:rPr>
        <w:t>第十一章 市政基础设施与综合防灾减灾救灾</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_Toc9934 \h </w:instrText>
      </w:r>
      <w:r>
        <w:rPr>
          <w:rFonts w:hint="eastAsia" w:ascii="宋体" w:hAnsi="宋体" w:eastAsia="宋体" w:cs="宋体"/>
        </w:rPr>
        <w:fldChar w:fldCharType="separate"/>
      </w:r>
      <w:r>
        <w:rPr>
          <w:rFonts w:hint="eastAsia" w:ascii="宋体" w:hAnsi="宋体" w:eastAsia="宋体" w:cs="宋体"/>
        </w:rPr>
        <w:t>72</w:t>
      </w:r>
      <w:r>
        <w:rPr>
          <w:rFonts w:hint="eastAsia" w:ascii="宋体" w:hAnsi="宋体" w:eastAsia="宋体" w:cs="宋体"/>
        </w:rPr>
        <w:fldChar w:fldCharType="end"/>
      </w:r>
      <w:r>
        <w:rPr>
          <w:rFonts w:hint="eastAsia" w:ascii="宋体" w:hAnsi="宋体" w:eastAsia="宋体" w:cs="宋体"/>
          <w:color w:val="000000" w:themeColor="text1"/>
        </w:rPr>
        <w:fldChar w:fldCharType="end"/>
      </w:r>
    </w:p>
    <w:p w14:paraId="345C2D5E">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_Toc10852 </w:instrText>
      </w:r>
      <w:r>
        <w:rPr>
          <w:rFonts w:hint="eastAsia" w:ascii="宋体" w:hAnsi="宋体" w:eastAsia="宋体" w:cs="宋体"/>
          <w:bCs/>
          <w:caps/>
          <w:color w:val="auto"/>
          <w:szCs w:val="32"/>
        </w:rPr>
        <w:fldChar w:fldCharType="separate"/>
      </w:r>
      <w:r>
        <w:rPr>
          <w:rFonts w:hint="eastAsia" w:ascii="宋体" w:hAnsi="宋体" w:eastAsia="宋体" w:cs="宋体"/>
        </w:rPr>
        <w:t>第一节 市政基础设施</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_Toc10852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72</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51F6EEED">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_Toc24831 </w:instrText>
      </w:r>
      <w:r>
        <w:rPr>
          <w:rFonts w:hint="eastAsia" w:ascii="宋体" w:hAnsi="宋体" w:eastAsia="宋体" w:cs="宋体"/>
          <w:bCs/>
          <w:caps/>
          <w:color w:val="auto"/>
          <w:szCs w:val="32"/>
        </w:rPr>
        <w:fldChar w:fldCharType="separate"/>
      </w:r>
      <w:r>
        <w:rPr>
          <w:rFonts w:hint="eastAsia" w:ascii="宋体" w:hAnsi="宋体" w:eastAsia="宋体" w:cs="宋体"/>
        </w:rPr>
        <w:t>第二节 综合防灾减灾救灾</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_Toc24831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75</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497813B8">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_Toc11530 </w:instrText>
      </w:r>
      <w:r>
        <w:rPr>
          <w:rFonts w:hint="eastAsia" w:ascii="宋体" w:hAnsi="宋体" w:eastAsia="宋体" w:cs="宋体"/>
          <w:bCs/>
          <w:caps/>
          <w:color w:val="auto"/>
          <w:szCs w:val="32"/>
        </w:rPr>
        <w:fldChar w:fldCharType="separate"/>
      </w:r>
      <w:r>
        <w:rPr>
          <w:rFonts w:hint="eastAsia" w:ascii="宋体" w:hAnsi="宋体" w:eastAsia="宋体" w:cs="宋体"/>
        </w:rPr>
        <w:t>第三节 环境保护</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_Toc11530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80</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4C231330">
      <w:pPr>
        <w:pStyle w:val="25"/>
        <w:tabs>
          <w:tab w:val="right" w:leader="dot" w:pos="8306"/>
          <w:tab w:val="clear" w:pos="1260"/>
          <w:tab w:val="clear" w:pos="8296"/>
        </w:tabs>
        <w:rPr>
          <w:rFonts w:hint="eastAsia" w:ascii="宋体" w:hAnsi="宋体" w:eastAsia="宋体" w:cs="宋体"/>
        </w:rPr>
      </w:pPr>
      <w:r>
        <w:rPr>
          <w:rFonts w:hint="eastAsia" w:ascii="宋体" w:hAnsi="宋体" w:eastAsia="宋体" w:cs="宋体"/>
          <w:color w:val="000000" w:themeColor="text1"/>
        </w:rPr>
        <w:fldChar w:fldCharType="begin"/>
      </w:r>
      <w:r>
        <w:rPr>
          <w:rFonts w:hint="eastAsia" w:ascii="宋体" w:hAnsi="宋体" w:eastAsia="宋体" w:cs="宋体"/>
        </w:rPr>
        <w:instrText xml:space="preserve"> HYPERLINK \l _Toc7559 </w:instrText>
      </w:r>
      <w:r>
        <w:rPr>
          <w:rFonts w:hint="eastAsia" w:ascii="宋体" w:hAnsi="宋体" w:eastAsia="宋体" w:cs="宋体"/>
          <w:color w:val="auto"/>
        </w:rPr>
        <w:fldChar w:fldCharType="separate"/>
      </w:r>
      <w:r>
        <w:rPr>
          <w:rFonts w:hint="eastAsia" w:ascii="宋体" w:hAnsi="宋体" w:eastAsia="宋体" w:cs="宋体"/>
          <w:szCs w:val="32"/>
        </w:rPr>
        <w:t>第十二章 土地节约集约高效利用</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_Toc7559 \h </w:instrText>
      </w:r>
      <w:r>
        <w:rPr>
          <w:rFonts w:hint="eastAsia" w:ascii="宋体" w:hAnsi="宋体" w:eastAsia="宋体" w:cs="宋体"/>
        </w:rPr>
        <w:fldChar w:fldCharType="separate"/>
      </w:r>
      <w:r>
        <w:rPr>
          <w:rFonts w:hint="eastAsia" w:ascii="宋体" w:hAnsi="宋体" w:eastAsia="宋体" w:cs="宋体"/>
        </w:rPr>
        <w:t>83</w:t>
      </w:r>
      <w:r>
        <w:rPr>
          <w:rFonts w:hint="eastAsia" w:ascii="宋体" w:hAnsi="宋体" w:eastAsia="宋体" w:cs="宋体"/>
        </w:rPr>
        <w:fldChar w:fldCharType="end"/>
      </w:r>
      <w:r>
        <w:rPr>
          <w:rFonts w:hint="eastAsia" w:ascii="宋体" w:hAnsi="宋体" w:eastAsia="宋体" w:cs="宋体"/>
          <w:color w:val="000000" w:themeColor="text1"/>
        </w:rPr>
        <w:fldChar w:fldCharType="end"/>
      </w:r>
    </w:p>
    <w:p w14:paraId="0AC5134E">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_Toc8613 </w:instrText>
      </w:r>
      <w:r>
        <w:rPr>
          <w:rFonts w:hint="eastAsia" w:ascii="宋体" w:hAnsi="宋体" w:eastAsia="宋体" w:cs="宋体"/>
          <w:bCs/>
          <w:caps/>
          <w:color w:val="auto"/>
          <w:szCs w:val="32"/>
        </w:rPr>
        <w:fldChar w:fldCharType="separate"/>
      </w:r>
      <w:r>
        <w:rPr>
          <w:rFonts w:hint="eastAsia" w:ascii="宋体" w:hAnsi="宋体" w:eastAsia="宋体" w:cs="宋体"/>
        </w:rPr>
        <w:t>第一节 节约集约目标与策略</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_Toc8613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83</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11399B70">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_Toc23098 </w:instrText>
      </w:r>
      <w:r>
        <w:rPr>
          <w:rFonts w:hint="eastAsia" w:ascii="宋体" w:hAnsi="宋体" w:eastAsia="宋体" w:cs="宋体"/>
          <w:bCs/>
          <w:caps/>
          <w:color w:val="auto"/>
          <w:szCs w:val="32"/>
        </w:rPr>
        <w:fldChar w:fldCharType="separate"/>
      </w:r>
      <w:r>
        <w:rPr>
          <w:rFonts w:hint="eastAsia" w:ascii="宋体" w:hAnsi="宋体" w:eastAsia="宋体" w:cs="宋体"/>
        </w:rPr>
        <w:t>第二节 存量用地提质增效</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_Toc23098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84</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52E6366B">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_Toc20639 </w:instrText>
      </w:r>
      <w:r>
        <w:rPr>
          <w:rFonts w:hint="eastAsia" w:ascii="宋体" w:hAnsi="宋体" w:eastAsia="宋体" w:cs="宋体"/>
          <w:bCs/>
          <w:caps/>
          <w:color w:val="auto"/>
          <w:szCs w:val="32"/>
        </w:rPr>
        <w:fldChar w:fldCharType="separate"/>
      </w:r>
      <w:r>
        <w:rPr>
          <w:rFonts w:hint="eastAsia" w:ascii="宋体" w:hAnsi="宋体" w:eastAsia="宋体" w:cs="宋体"/>
        </w:rPr>
        <w:t>第三节 建设用地高效复合利用</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_Toc20639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86</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70EA85DC">
      <w:pPr>
        <w:pStyle w:val="25"/>
        <w:tabs>
          <w:tab w:val="right" w:leader="dot" w:pos="8306"/>
          <w:tab w:val="clear" w:pos="1260"/>
          <w:tab w:val="clear" w:pos="8296"/>
        </w:tabs>
        <w:rPr>
          <w:rFonts w:hint="eastAsia" w:ascii="宋体" w:hAnsi="宋体" w:eastAsia="宋体" w:cs="宋体"/>
        </w:rPr>
      </w:pPr>
      <w:r>
        <w:rPr>
          <w:rFonts w:hint="eastAsia" w:ascii="宋体" w:hAnsi="宋体" w:eastAsia="宋体" w:cs="宋体"/>
          <w:color w:val="000000" w:themeColor="text1"/>
        </w:rPr>
        <w:fldChar w:fldCharType="begin"/>
      </w:r>
      <w:r>
        <w:rPr>
          <w:rFonts w:hint="eastAsia" w:ascii="宋体" w:hAnsi="宋体" w:eastAsia="宋体" w:cs="宋体"/>
        </w:rPr>
        <w:instrText xml:space="preserve"> HYPERLINK \l _Toc55 </w:instrText>
      </w:r>
      <w:r>
        <w:rPr>
          <w:rFonts w:hint="eastAsia" w:ascii="宋体" w:hAnsi="宋体" w:eastAsia="宋体" w:cs="宋体"/>
          <w:color w:val="auto"/>
        </w:rPr>
        <w:fldChar w:fldCharType="separate"/>
      </w:r>
      <w:r>
        <w:rPr>
          <w:rFonts w:hint="eastAsia" w:ascii="宋体" w:hAnsi="宋体" w:eastAsia="宋体" w:cs="宋体"/>
          <w:szCs w:val="32"/>
        </w:rPr>
        <w:t>第十三章 区域协同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_Toc55 \h </w:instrText>
      </w:r>
      <w:r>
        <w:rPr>
          <w:rFonts w:hint="eastAsia" w:ascii="宋体" w:hAnsi="宋体" w:eastAsia="宋体" w:cs="宋体"/>
        </w:rPr>
        <w:fldChar w:fldCharType="separate"/>
      </w:r>
      <w:r>
        <w:rPr>
          <w:rFonts w:hint="eastAsia" w:ascii="宋体" w:hAnsi="宋体" w:eastAsia="宋体" w:cs="宋体"/>
        </w:rPr>
        <w:t>88</w:t>
      </w:r>
      <w:r>
        <w:rPr>
          <w:rFonts w:hint="eastAsia" w:ascii="宋体" w:hAnsi="宋体" w:eastAsia="宋体" w:cs="宋体"/>
        </w:rPr>
        <w:fldChar w:fldCharType="end"/>
      </w:r>
      <w:r>
        <w:rPr>
          <w:rFonts w:hint="eastAsia" w:ascii="宋体" w:hAnsi="宋体" w:eastAsia="宋体" w:cs="宋体"/>
          <w:color w:val="000000" w:themeColor="text1"/>
        </w:rPr>
        <w:fldChar w:fldCharType="end"/>
      </w:r>
    </w:p>
    <w:p w14:paraId="43DADFED">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_Toc8074 </w:instrText>
      </w:r>
      <w:r>
        <w:rPr>
          <w:rFonts w:hint="eastAsia" w:ascii="宋体" w:hAnsi="宋体" w:eastAsia="宋体" w:cs="宋体"/>
          <w:bCs/>
          <w:caps/>
          <w:color w:val="auto"/>
          <w:szCs w:val="32"/>
        </w:rPr>
        <w:fldChar w:fldCharType="separate"/>
      </w:r>
      <w:r>
        <w:rPr>
          <w:rFonts w:hint="eastAsia" w:ascii="宋体" w:hAnsi="宋体" w:eastAsia="宋体" w:cs="宋体"/>
        </w:rPr>
        <w:t>第一节 推进长江、太湖生态保护</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_Toc8074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88</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3766F89B">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_Toc17390 </w:instrText>
      </w:r>
      <w:r>
        <w:rPr>
          <w:rFonts w:hint="eastAsia" w:ascii="宋体" w:hAnsi="宋体" w:eastAsia="宋体" w:cs="宋体"/>
          <w:bCs/>
          <w:caps/>
          <w:color w:val="auto"/>
          <w:szCs w:val="32"/>
        </w:rPr>
        <w:fldChar w:fldCharType="separate"/>
      </w:r>
      <w:r>
        <w:rPr>
          <w:rFonts w:hint="eastAsia" w:ascii="宋体" w:hAnsi="宋体" w:eastAsia="宋体" w:cs="宋体"/>
        </w:rPr>
        <w:t>第二节 协同推进长三角一体化发展</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_Toc17390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90</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4D6B2A2E">
      <w:pPr>
        <w:pStyle w:val="25"/>
        <w:tabs>
          <w:tab w:val="right" w:leader="dot" w:pos="8306"/>
          <w:tab w:val="clear" w:pos="1260"/>
          <w:tab w:val="clear" w:pos="8296"/>
        </w:tabs>
        <w:rPr>
          <w:rFonts w:hint="eastAsia" w:ascii="宋体" w:hAnsi="宋体" w:eastAsia="宋体" w:cs="宋体"/>
        </w:rPr>
      </w:pPr>
      <w:r>
        <w:rPr>
          <w:rFonts w:hint="eastAsia" w:ascii="宋体" w:hAnsi="宋体" w:eastAsia="宋体" w:cs="宋体"/>
          <w:color w:val="000000" w:themeColor="text1"/>
        </w:rPr>
        <w:fldChar w:fldCharType="begin"/>
      </w:r>
      <w:r>
        <w:rPr>
          <w:rFonts w:hint="eastAsia" w:ascii="宋体" w:hAnsi="宋体" w:eastAsia="宋体" w:cs="宋体"/>
        </w:rPr>
        <w:instrText xml:space="preserve"> HYPERLINK \l _Toc27032 </w:instrText>
      </w:r>
      <w:r>
        <w:rPr>
          <w:rFonts w:hint="eastAsia" w:ascii="宋体" w:hAnsi="宋体" w:eastAsia="宋体" w:cs="宋体"/>
          <w:color w:val="auto"/>
        </w:rPr>
        <w:fldChar w:fldCharType="separate"/>
      </w:r>
      <w:r>
        <w:rPr>
          <w:rFonts w:hint="eastAsia" w:ascii="宋体" w:hAnsi="宋体" w:eastAsia="宋体" w:cs="宋体"/>
          <w:szCs w:val="32"/>
        </w:rPr>
        <w:t>第十四章 规划实施保障</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_Toc27032 \h </w:instrText>
      </w:r>
      <w:r>
        <w:rPr>
          <w:rFonts w:hint="eastAsia" w:ascii="宋体" w:hAnsi="宋体" w:eastAsia="宋体" w:cs="宋体"/>
        </w:rPr>
        <w:fldChar w:fldCharType="separate"/>
      </w:r>
      <w:r>
        <w:rPr>
          <w:rFonts w:hint="eastAsia" w:ascii="宋体" w:hAnsi="宋体" w:eastAsia="宋体" w:cs="宋体"/>
        </w:rPr>
        <w:t>94</w:t>
      </w:r>
      <w:r>
        <w:rPr>
          <w:rFonts w:hint="eastAsia" w:ascii="宋体" w:hAnsi="宋体" w:eastAsia="宋体" w:cs="宋体"/>
        </w:rPr>
        <w:fldChar w:fldCharType="end"/>
      </w:r>
      <w:r>
        <w:rPr>
          <w:rFonts w:hint="eastAsia" w:ascii="宋体" w:hAnsi="宋体" w:eastAsia="宋体" w:cs="宋体"/>
          <w:color w:val="000000" w:themeColor="text1"/>
        </w:rPr>
        <w:fldChar w:fldCharType="end"/>
      </w:r>
    </w:p>
    <w:p w14:paraId="5C98111A">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_Toc12870 </w:instrText>
      </w:r>
      <w:r>
        <w:rPr>
          <w:rFonts w:hint="eastAsia" w:ascii="宋体" w:hAnsi="宋体" w:eastAsia="宋体" w:cs="宋体"/>
          <w:bCs/>
          <w:caps/>
          <w:color w:val="auto"/>
          <w:szCs w:val="32"/>
        </w:rPr>
        <w:fldChar w:fldCharType="separate"/>
      </w:r>
      <w:r>
        <w:rPr>
          <w:rFonts w:hint="eastAsia" w:ascii="宋体" w:hAnsi="宋体" w:eastAsia="宋体" w:cs="宋体"/>
        </w:rPr>
        <w:t>第一节 规划实施传导</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_Toc12870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94</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6909BA1E">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_Toc5289 </w:instrText>
      </w:r>
      <w:r>
        <w:rPr>
          <w:rFonts w:hint="eastAsia" w:ascii="宋体" w:hAnsi="宋体" w:eastAsia="宋体" w:cs="宋体"/>
          <w:bCs/>
          <w:caps/>
          <w:color w:val="auto"/>
          <w:szCs w:val="32"/>
        </w:rPr>
        <w:fldChar w:fldCharType="separate"/>
      </w:r>
      <w:r>
        <w:rPr>
          <w:rFonts w:hint="eastAsia" w:ascii="宋体" w:hAnsi="宋体" w:eastAsia="宋体" w:cs="宋体"/>
        </w:rPr>
        <w:t>第二节 规划实施监督管理</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_Toc5289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95</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45713281">
      <w:pPr>
        <w:pStyle w:val="32"/>
        <w:tabs>
          <w:tab w:val="right" w:leader="dot" w:pos="8306"/>
          <w:tab w:val="clear" w:pos="1810"/>
          <w:tab w:val="clear" w:pos="8296"/>
        </w:tabs>
        <w:rPr>
          <w:rFonts w:hint="eastAsia" w:ascii="宋体" w:hAnsi="宋体" w:eastAsia="宋体" w:cs="宋体"/>
        </w:rPr>
      </w:pPr>
      <w:r>
        <w:rPr>
          <w:rFonts w:hint="eastAsia" w:ascii="宋体" w:hAnsi="宋体" w:eastAsia="宋体" w:cs="宋体"/>
          <w:bCs/>
          <w:caps/>
          <w:color w:val="000000" w:themeColor="text1"/>
          <w:szCs w:val="32"/>
        </w:rPr>
        <w:fldChar w:fldCharType="begin"/>
      </w:r>
      <w:r>
        <w:rPr>
          <w:rFonts w:hint="eastAsia" w:ascii="宋体" w:hAnsi="宋体" w:eastAsia="宋体" w:cs="宋体"/>
          <w:bCs/>
          <w:caps/>
          <w:szCs w:val="32"/>
        </w:rPr>
        <w:instrText xml:space="preserve"> HYPERLINK \l _Toc15336 </w:instrText>
      </w:r>
      <w:r>
        <w:rPr>
          <w:rFonts w:hint="eastAsia" w:ascii="宋体" w:hAnsi="宋体" w:eastAsia="宋体" w:cs="宋体"/>
          <w:bCs/>
          <w:caps/>
          <w:color w:val="auto"/>
          <w:szCs w:val="32"/>
        </w:rPr>
        <w:fldChar w:fldCharType="separate"/>
      </w:r>
      <w:r>
        <w:rPr>
          <w:rFonts w:hint="eastAsia" w:ascii="宋体" w:hAnsi="宋体" w:eastAsia="宋体" w:cs="宋体"/>
        </w:rPr>
        <w:t>第三节 法规政策与技术标准体系</w:t>
      </w:r>
      <w:r>
        <w:rPr>
          <w:rFonts w:hint="eastAsia" w:ascii="宋体" w:hAnsi="宋体" w:eastAsia="宋体" w:cs="宋体"/>
        </w:rPr>
        <w:tab/>
      </w:r>
      <w:r>
        <w:rPr>
          <w:rFonts w:hint="eastAsia" w:ascii="宋体" w:hAnsi="宋体" w:eastAsia="宋体" w:cs="宋体"/>
          <w:bCs/>
          <w:caps/>
          <w:kern w:val="2"/>
          <w:szCs w:val="32"/>
        </w:rPr>
        <w:fldChar w:fldCharType="begin"/>
      </w:r>
      <w:r>
        <w:rPr>
          <w:rFonts w:hint="eastAsia" w:ascii="宋体" w:hAnsi="宋体" w:eastAsia="宋体" w:cs="宋体"/>
          <w:bCs/>
          <w:caps/>
          <w:kern w:val="2"/>
          <w:szCs w:val="32"/>
        </w:rPr>
        <w:instrText xml:space="preserve"> PAGEREF _Toc15336 \h </w:instrText>
      </w:r>
      <w:r>
        <w:rPr>
          <w:rFonts w:hint="eastAsia" w:ascii="宋体" w:hAnsi="宋体" w:eastAsia="宋体" w:cs="宋体"/>
          <w:bCs/>
          <w:caps/>
          <w:kern w:val="2"/>
          <w:szCs w:val="32"/>
        </w:rPr>
        <w:fldChar w:fldCharType="separate"/>
      </w:r>
      <w:r>
        <w:rPr>
          <w:rFonts w:hint="eastAsia" w:ascii="宋体" w:hAnsi="宋体" w:eastAsia="宋体" w:cs="宋体"/>
          <w:bCs/>
          <w:caps/>
          <w:kern w:val="2"/>
          <w:szCs w:val="32"/>
        </w:rPr>
        <w:t>98</w:t>
      </w:r>
      <w:r>
        <w:rPr>
          <w:rFonts w:hint="eastAsia" w:ascii="宋体" w:hAnsi="宋体" w:eastAsia="宋体" w:cs="宋体"/>
          <w:bCs/>
          <w:caps/>
          <w:kern w:val="2"/>
          <w:szCs w:val="32"/>
        </w:rPr>
        <w:fldChar w:fldCharType="end"/>
      </w:r>
      <w:r>
        <w:rPr>
          <w:rFonts w:hint="eastAsia" w:ascii="宋体" w:hAnsi="宋体" w:eastAsia="宋体" w:cs="宋体"/>
          <w:bCs/>
          <w:caps/>
          <w:color w:val="000000" w:themeColor="text1"/>
          <w:szCs w:val="32"/>
        </w:rPr>
        <w:fldChar w:fldCharType="end"/>
      </w:r>
    </w:p>
    <w:p w14:paraId="7E1DD384">
      <w:pPr>
        <w:pStyle w:val="16"/>
        <w:spacing w:line="560" w:lineRule="atLeast"/>
        <w:ind w:firstLine="0"/>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fldChar w:fldCharType="end"/>
      </w:r>
    </w:p>
    <w:p w14:paraId="165A4E26">
      <w:pPr>
        <w:pStyle w:val="16"/>
        <w:spacing w:line="560" w:lineRule="atLeast"/>
        <w:ind w:firstLine="0"/>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t>附图</w:t>
      </w:r>
    </w:p>
    <w:p w14:paraId="70FBA875">
      <w:pPr>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t>01</w:t>
      </w:r>
      <w:r>
        <w:rPr>
          <w:rFonts w:hint="eastAsia" w:ascii="宋体" w:hAnsi="宋体" w:eastAsia="宋体" w:cs="宋体"/>
          <w:bCs/>
          <w:caps/>
          <w:color w:val="000000" w:themeColor="text1"/>
          <w:sz w:val="32"/>
          <w:szCs w:val="32"/>
        </w:rPr>
        <w:t xml:space="preserve"> 规划范围示意图</w:t>
      </w:r>
    </w:p>
    <w:p w14:paraId="4BD828CD">
      <w:pPr>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t>02</w:t>
      </w:r>
      <w:r>
        <w:rPr>
          <w:rFonts w:hint="eastAsia" w:ascii="宋体" w:hAnsi="宋体" w:eastAsia="宋体" w:cs="宋体"/>
          <w:bCs/>
          <w:caps/>
          <w:color w:val="000000" w:themeColor="text1"/>
          <w:sz w:val="32"/>
          <w:szCs w:val="32"/>
        </w:rPr>
        <w:t xml:space="preserve"> 市域三条线控制图</w:t>
      </w:r>
    </w:p>
    <w:p w14:paraId="57DCFFF5">
      <w:pPr>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t>03</w:t>
      </w:r>
      <w:r>
        <w:rPr>
          <w:rFonts w:hint="eastAsia" w:ascii="宋体" w:hAnsi="宋体" w:eastAsia="宋体" w:cs="宋体"/>
          <w:bCs/>
          <w:caps/>
          <w:color w:val="000000" w:themeColor="text1"/>
          <w:sz w:val="32"/>
          <w:szCs w:val="32"/>
        </w:rPr>
        <w:t xml:space="preserve"> 县（市、区）级行政区主体功能定位分布图</w:t>
      </w:r>
    </w:p>
    <w:p w14:paraId="2B8557FE">
      <w:pPr>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t>04</w:t>
      </w:r>
      <w:r>
        <w:rPr>
          <w:rFonts w:hint="eastAsia" w:ascii="宋体" w:hAnsi="宋体" w:eastAsia="宋体" w:cs="宋体"/>
          <w:bCs/>
          <w:caps/>
          <w:color w:val="000000" w:themeColor="text1"/>
          <w:sz w:val="32"/>
          <w:szCs w:val="32"/>
        </w:rPr>
        <w:t xml:space="preserve"> 市域国土空间总体格局规划图</w:t>
      </w:r>
    </w:p>
    <w:p w14:paraId="143640EF">
      <w:pPr>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t>05</w:t>
      </w:r>
      <w:r>
        <w:rPr>
          <w:rFonts w:hint="eastAsia" w:ascii="宋体" w:hAnsi="宋体" w:eastAsia="宋体" w:cs="宋体"/>
          <w:bCs/>
          <w:caps/>
          <w:color w:val="000000" w:themeColor="text1"/>
          <w:sz w:val="32"/>
          <w:szCs w:val="32"/>
        </w:rPr>
        <w:t xml:space="preserve"> 市域国土空间规划分区图</w:t>
      </w:r>
    </w:p>
    <w:p w14:paraId="74CE6E79">
      <w:pPr>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t>06</w:t>
      </w:r>
      <w:r>
        <w:rPr>
          <w:rFonts w:hint="eastAsia" w:ascii="宋体" w:hAnsi="宋体" w:eastAsia="宋体" w:cs="宋体"/>
          <w:bCs/>
          <w:caps/>
          <w:color w:val="000000" w:themeColor="text1"/>
          <w:sz w:val="32"/>
          <w:szCs w:val="32"/>
        </w:rPr>
        <w:t xml:space="preserve"> 市域农业空间规划图</w:t>
      </w:r>
    </w:p>
    <w:p w14:paraId="3591B72A">
      <w:pPr>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t>07</w:t>
      </w:r>
      <w:r>
        <w:rPr>
          <w:rFonts w:hint="eastAsia" w:ascii="宋体" w:hAnsi="宋体" w:eastAsia="宋体" w:cs="宋体"/>
          <w:bCs/>
          <w:caps/>
          <w:color w:val="000000" w:themeColor="text1"/>
          <w:sz w:val="32"/>
          <w:szCs w:val="32"/>
        </w:rPr>
        <w:t xml:space="preserve"> 市域生态系统保护规划图</w:t>
      </w:r>
    </w:p>
    <w:p w14:paraId="4035CF4E">
      <w:pPr>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t>08</w:t>
      </w:r>
      <w:r>
        <w:rPr>
          <w:rFonts w:hint="eastAsia" w:ascii="宋体" w:hAnsi="宋体" w:eastAsia="宋体" w:cs="宋体"/>
          <w:bCs/>
          <w:caps/>
          <w:color w:val="000000" w:themeColor="text1"/>
          <w:sz w:val="32"/>
          <w:szCs w:val="32"/>
        </w:rPr>
        <w:t xml:space="preserve"> 市域城镇空间结构图</w:t>
      </w:r>
    </w:p>
    <w:p w14:paraId="07D51835">
      <w:pPr>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t>09</w:t>
      </w:r>
      <w:r>
        <w:rPr>
          <w:rFonts w:hint="eastAsia" w:ascii="宋体" w:hAnsi="宋体" w:eastAsia="宋体" w:cs="宋体"/>
          <w:bCs/>
          <w:caps/>
          <w:color w:val="000000" w:themeColor="text1"/>
          <w:sz w:val="32"/>
          <w:szCs w:val="32"/>
        </w:rPr>
        <w:t xml:space="preserve"> 市域城镇空间布局结构规划图</w:t>
      </w:r>
    </w:p>
    <w:p w14:paraId="66CA25CF">
      <w:pPr>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t>10</w:t>
      </w:r>
      <w:r>
        <w:rPr>
          <w:rFonts w:hint="eastAsia" w:ascii="宋体" w:hAnsi="宋体" w:eastAsia="宋体" w:cs="宋体"/>
          <w:bCs/>
          <w:caps/>
          <w:color w:val="000000" w:themeColor="text1"/>
          <w:sz w:val="32"/>
          <w:szCs w:val="32"/>
        </w:rPr>
        <w:t xml:space="preserve"> 市域对外交通设施规划图</w:t>
      </w:r>
    </w:p>
    <w:p w14:paraId="5A8BCD7E">
      <w:pPr>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t>11</w:t>
      </w:r>
      <w:r>
        <w:rPr>
          <w:rFonts w:hint="eastAsia" w:ascii="宋体" w:hAnsi="宋体" w:eastAsia="宋体" w:cs="宋体"/>
          <w:bCs/>
          <w:caps/>
          <w:color w:val="000000" w:themeColor="text1"/>
          <w:sz w:val="32"/>
          <w:szCs w:val="32"/>
        </w:rPr>
        <w:t xml:space="preserve"> 区域协同发展示意图</w:t>
      </w:r>
    </w:p>
    <w:p w14:paraId="15B36B64">
      <w:pPr>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t>12</w:t>
      </w:r>
      <w:r>
        <w:rPr>
          <w:rFonts w:hint="eastAsia" w:ascii="宋体" w:hAnsi="宋体" w:eastAsia="宋体" w:cs="宋体"/>
          <w:bCs/>
          <w:caps/>
          <w:color w:val="000000" w:themeColor="text1"/>
          <w:sz w:val="32"/>
          <w:szCs w:val="32"/>
        </w:rPr>
        <w:t xml:space="preserve"> 市辖区空间结构规划图</w:t>
      </w:r>
    </w:p>
    <w:p w14:paraId="40BF7DF6">
      <w:pPr>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t>13</w:t>
      </w:r>
      <w:r>
        <w:rPr>
          <w:rFonts w:hint="eastAsia" w:ascii="宋体" w:hAnsi="宋体" w:eastAsia="宋体" w:cs="宋体"/>
          <w:bCs/>
          <w:caps/>
          <w:color w:val="000000" w:themeColor="text1"/>
          <w:sz w:val="32"/>
          <w:szCs w:val="32"/>
        </w:rPr>
        <w:t xml:space="preserve"> 市辖区开敞空间规划图</w:t>
      </w:r>
    </w:p>
    <w:p w14:paraId="3907AC90">
      <w:pPr>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t>14</w:t>
      </w:r>
      <w:r>
        <w:rPr>
          <w:rFonts w:hint="eastAsia" w:ascii="宋体" w:hAnsi="宋体" w:eastAsia="宋体" w:cs="宋体"/>
          <w:bCs/>
          <w:caps/>
          <w:color w:val="000000" w:themeColor="text1"/>
          <w:sz w:val="32"/>
          <w:szCs w:val="32"/>
        </w:rPr>
        <w:t xml:space="preserve"> 市辖区历史文化保护规划图</w:t>
      </w:r>
    </w:p>
    <w:p w14:paraId="47CCB43C">
      <w:pPr>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t>15</w:t>
      </w:r>
      <w:r>
        <w:rPr>
          <w:rFonts w:hint="eastAsia" w:ascii="宋体" w:hAnsi="宋体" w:eastAsia="宋体" w:cs="宋体"/>
          <w:bCs/>
          <w:caps/>
          <w:color w:val="000000" w:themeColor="text1"/>
          <w:sz w:val="32"/>
          <w:szCs w:val="32"/>
        </w:rPr>
        <w:t xml:space="preserve"> 中心城区国土空间规划分区图</w:t>
      </w:r>
    </w:p>
    <w:p w14:paraId="0ED9458A">
      <w:pPr>
        <w:rPr>
          <w:rFonts w:hint="eastAsia" w:ascii="宋体" w:hAnsi="宋体" w:eastAsia="宋体" w:cs="宋体"/>
          <w:bCs/>
          <w:caps/>
          <w:color w:val="000000" w:themeColor="text1"/>
          <w:sz w:val="32"/>
          <w:szCs w:val="32"/>
        </w:rPr>
      </w:pPr>
      <w:r>
        <w:rPr>
          <w:rFonts w:hint="eastAsia" w:ascii="宋体" w:hAnsi="宋体" w:eastAsia="宋体" w:cs="宋体"/>
          <w:bCs/>
          <w:caps/>
          <w:color w:val="000000" w:themeColor="text1"/>
          <w:sz w:val="32"/>
          <w:szCs w:val="32"/>
        </w:rPr>
        <w:t>16</w:t>
      </w:r>
      <w:r>
        <w:rPr>
          <w:rFonts w:hint="eastAsia" w:ascii="宋体" w:hAnsi="宋体" w:eastAsia="宋体" w:cs="宋体"/>
          <w:bCs/>
          <w:caps/>
          <w:color w:val="000000" w:themeColor="text1"/>
          <w:sz w:val="32"/>
          <w:szCs w:val="32"/>
        </w:rPr>
        <w:t xml:space="preserve"> 中心城区道路交通规划图</w:t>
      </w:r>
    </w:p>
    <w:p w14:paraId="6BE68008">
      <w:pPr>
        <w:rPr>
          <w:rFonts w:hint="eastAsia" w:ascii="宋体" w:hAnsi="宋体" w:eastAsia="宋体" w:cs="宋体"/>
          <w:bCs/>
          <w:caps/>
          <w:color w:val="000000" w:themeColor="text1"/>
          <w:sz w:val="32"/>
          <w:szCs w:val="32"/>
        </w:rPr>
        <w:sectPr>
          <w:footerReference r:id="rId6" w:type="default"/>
          <w:pgSz w:w="11906" w:h="16838"/>
          <w:pgMar w:top="1440" w:right="1800" w:bottom="1440" w:left="1800" w:header="851" w:footer="992" w:gutter="0"/>
          <w:pgNumType w:fmt="upperRoman" w:start="1"/>
          <w:cols w:space="425" w:num="1"/>
          <w:docGrid w:type="lines" w:linePitch="312" w:charSpace="0"/>
        </w:sectPr>
      </w:pPr>
    </w:p>
    <w:p w14:paraId="3BC664E7">
      <w:pPr>
        <w:pStyle w:val="2"/>
        <w:snapToGrid w:val="0"/>
        <w:spacing w:before="0" w:after="312" w:afterLines="100" w:line="500" w:lineRule="exact"/>
        <w:jc w:val="center"/>
        <w:rPr>
          <w:rFonts w:hint="eastAsia" w:ascii="宋体" w:hAnsi="宋体" w:eastAsia="宋体" w:cs="宋体"/>
          <w:b w:val="0"/>
          <w:color w:val="000000" w:themeColor="text1"/>
          <w:sz w:val="36"/>
          <w:szCs w:val="36"/>
        </w:rPr>
      </w:pPr>
      <w:bookmarkStart w:id="1" w:name="_Toc176945791"/>
      <w:bookmarkStart w:id="2" w:name="_Toc161582223"/>
      <w:bookmarkStart w:id="3" w:name="_Toc139397143"/>
      <w:bookmarkStart w:id="4" w:name="_Toc156410556"/>
    </w:p>
    <w:p w14:paraId="3E98CE08">
      <w:pPr>
        <w:pStyle w:val="2"/>
        <w:snapToGrid w:val="0"/>
        <w:spacing w:before="0" w:after="312" w:afterLines="100" w:line="500" w:lineRule="exact"/>
        <w:jc w:val="center"/>
        <w:rPr>
          <w:rFonts w:hint="eastAsia" w:ascii="宋体" w:hAnsi="宋体" w:eastAsia="宋体" w:cs="宋体"/>
          <w:b w:val="0"/>
          <w:color w:val="000000" w:themeColor="text1"/>
          <w:sz w:val="36"/>
          <w:szCs w:val="36"/>
        </w:rPr>
      </w:pPr>
      <w:bookmarkStart w:id="5" w:name="_Toc185189003"/>
      <w:bookmarkStart w:id="6" w:name="_Toc15351"/>
      <w:r>
        <w:rPr>
          <w:rFonts w:hint="eastAsia" w:ascii="宋体" w:hAnsi="宋体" w:eastAsia="宋体" w:cs="宋体"/>
          <w:b w:val="0"/>
          <w:color w:val="000000" w:themeColor="text1"/>
          <w:sz w:val="36"/>
          <w:szCs w:val="36"/>
        </w:rPr>
        <w:t>前言</w:t>
      </w:r>
      <w:bookmarkEnd w:id="1"/>
      <w:bookmarkEnd w:id="2"/>
      <w:bookmarkEnd w:id="5"/>
      <w:bookmarkEnd w:id="6"/>
    </w:p>
    <w:p w14:paraId="1A082FCD">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p>
    <w:p w14:paraId="61AB75AD">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无锡市地处长江三角洲平原腹地，北枕长江，南濒太湖，大运河穿城而过，自古以来是鱼米之乡，被誉为“太湖明珠”。随着城镇化建设的持续推进，无锡市坚持以科学规划引领城市发展，城镇布局逐步优化，人居环境显著改善，综合实力持续增强，城市品质不断提升。</w:t>
      </w:r>
    </w:p>
    <w:p w14:paraId="31D15722">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sectPr>
          <w:footerReference r:id="rId7" w:type="default"/>
          <w:pgSz w:w="11906" w:h="16838"/>
          <w:pgMar w:top="1440" w:right="1800" w:bottom="1440" w:left="1800" w:header="851" w:footer="992" w:gutter="0"/>
          <w:pgNumType w:start="1"/>
          <w:cols w:space="425" w:num="1"/>
          <w:docGrid w:type="lines" w:linePitch="312" w:charSpace="0"/>
        </w:sectPr>
      </w:pPr>
      <w:r>
        <w:rPr>
          <w:rFonts w:hint="eastAsia" w:ascii="宋体" w:hAnsi="宋体" w:eastAsia="宋体" w:cs="宋体"/>
          <w:color w:val="000000" w:themeColor="text1"/>
          <w:sz w:val="32"/>
          <w:szCs w:val="32"/>
        </w:rPr>
        <w:t>本规划以习近平新时代中国特色社会主义思想为指导，全面贯彻落实党的二十大和二十届二中、三中全会精神，紧扣习近平总书记赋予江苏省的“经济强、百姓富、环境美、社会文明程度高”总目标和</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争当表率、争做示范、走在前列</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总要求</w:t>
      </w:r>
      <w:r>
        <w:rPr>
          <w:rFonts w:hint="eastAsia" w:ascii="宋体" w:hAnsi="宋体" w:eastAsia="宋体" w:cs="宋体"/>
          <w:color w:val="000000" w:themeColor="text1"/>
          <w:sz w:val="32"/>
          <w:szCs w:val="32"/>
        </w:rPr>
        <w:t>，完整准确全面贯彻新发展理念，坚持以人民为中心，统筹发展和安全，促进人与自然和谐共生，探索山水人城和谐共融与存量转型发展的新路径，整体谋划城乡融合、产城互动、节约集约、生态宜居的发展蓝图，继续在改革创新、推动高质量发展上争当表率，在服务全国构建新发展格局上争做示范，在率先实现社会主义现代化上走在前列，奋力谱写中国式现代化无锡篇章。</w:t>
      </w:r>
    </w:p>
    <w:p w14:paraId="4C04ACD9">
      <w:pPr>
        <w:pStyle w:val="2"/>
        <w:numPr>
          <w:ilvl w:val="0"/>
          <w:numId w:val="2"/>
        </w:numPr>
        <w:snapToGrid w:val="0"/>
        <w:spacing w:before="0" w:after="156" w:afterLines="50" w:line="500" w:lineRule="exact"/>
        <w:ind w:left="0" w:firstLine="0"/>
        <w:jc w:val="center"/>
        <w:rPr>
          <w:rFonts w:hint="eastAsia" w:ascii="宋体" w:hAnsi="宋体" w:eastAsia="宋体" w:cs="宋体"/>
          <w:b w:val="0"/>
          <w:color w:val="000000" w:themeColor="text1"/>
          <w:sz w:val="36"/>
          <w:szCs w:val="36"/>
        </w:rPr>
      </w:pPr>
      <w:bookmarkStart w:id="7" w:name="_Toc161582224"/>
      <w:bookmarkStart w:id="8" w:name="_Toc176945792"/>
      <w:bookmarkStart w:id="9" w:name="_Toc185189004"/>
      <w:bookmarkStart w:id="10" w:name="_Toc31885"/>
      <w:r>
        <w:rPr>
          <w:rFonts w:hint="eastAsia" w:ascii="宋体" w:hAnsi="宋体" w:eastAsia="宋体" w:cs="宋体"/>
          <w:b w:val="0"/>
          <w:color w:val="000000" w:themeColor="text1"/>
          <w:sz w:val="36"/>
          <w:szCs w:val="36"/>
        </w:rPr>
        <w:t>总则</w:t>
      </w:r>
      <w:bookmarkEnd w:id="7"/>
      <w:bookmarkEnd w:id="8"/>
      <w:bookmarkEnd w:id="9"/>
      <w:bookmarkEnd w:id="10"/>
    </w:p>
    <w:p w14:paraId="4CBA6914">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规划目的</w:t>
      </w:r>
    </w:p>
    <w:p w14:paraId="7562C6E8">
      <w:pPr>
        <w:pStyle w:val="35"/>
        <w:spacing w:before="0" w:beforeAutospacing="0" w:after="0" w:afterAutospacing="0" w:line="600" w:lineRule="exact"/>
        <w:ind w:firstLine="640" w:firstLineChars="200"/>
        <w:jc w:val="both"/>
        <w:rPr>
          <w:rFonts w:hint="eastAsia" w:ascii="宋体" w:hAnsi="宋体" w:eastAsia="宋体" w:cs="宋体"/>
          <w:color w:val="000000" w:themeColor="text1"/>
        </w:rPr>
      </w:pPr>
      <w:r>
        <w:rPr>
          <w:rFonts w:hint="eastAsia" w:ascii="宋体" w:hAnsi="宋体" w:eastAsia="宋体" w:cs="宋体"/>
          <w:color w:val="000000" w:themeColor="text1"/>
          <w:sz w:val="32"/>
          <w:szCs w:val="32"/>
        </w:rPr>
        <w:t>为全面贯彻落实《全国国土空间规划纲要（</w:t>
      </w:r>
      <w:r>
        <w:rPr>
          <w:rFonts w:hint="eastAsia" w:ascii="宋体" w:hAnsi="宋体" w:eastAsia="宋体" w:cs="宋体"/>
          <w:color w:val="000000" w:themeColor="text1"/>
          <w:sz w:val="32"/>
          <w:szCs w:val="32"/>
        </w:rPr>
        <w:t>2021</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2035</w:t>
      </w:r>
      <w:r>
        <w:rPr>
          <w:rFonts w:hint="eastAsia" w:ascii="宋体" w:hAnsi="宋体" w:eastAsia="宋体" w:cs="宋体"/>
          <w:color w:val="000000" w:themeColor="text1"/>
          <w:sz w:val="32"/>
          <w:szCs w:val="32"/>
        </w:rPr>
        <w:t>年）》《长江三角洲区域一体化发展规划纲要》《江苏省国土空间规划（</w:t>
      </w:r>
      <w:r>
        <w:rPr>
          <w:rFonts w:hint="eastAsia" w:ascii="宋体" w:hAnsi="宋体" w:eastAsia="宋体" w:cs="宋体"/>
          <w:color w:val="000000" w:themeColor="text1"/>
          <w:sz w:val="32"/>
          <w:szCs w:val="32"/>
        </w:rPr>
        <w:t>2021</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2035</w:t>
      </w:r>
      <w:r>
        <w:rPr>
          <w:rFonts w:hint="eastAsia" w:ascii="宋体" w:hAnsi="宋体" w:eastAsia="宋体" w:cs="宋体"/>
          <w:color w:val="000000" w:themeColor="text1"/>
          <w:sz w:val="32"/>
          <w:szCs w:val="32"/>
        </w:rPr>
        <w:t>年）》，加快转变城市发展方式，统筹全域全要素配置，实现城市高质量发展，根据《中共中央国务院关于建立国土空间规划体系并监督实施的若干意见》及相关法律法规和技术规范，制定本规划。</w:t>
      </w:r>
    </w:p>
    <w:p w14:paraId="20A6CB38">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总体要求</w:t>
      </w:r>
    </w:p>
    <w:p w14:paraId="629680E8">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以习近平新时代中国特色社会主义思想为指导，全面贯彻落实党的二十大和二十届二中、三中全会精神，统筹推进“五位一体”总体布局，协调推进“四个全面”战略布局，紧扣习近平总书记赋予江苏省的“经济强、百姓富、环境美、社会文明程度高”总目标和</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争当表率、争做示范、走在前列</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总要求，坚持以人民为中心，统筹发展和安全，全面优化国土空间开发保护新格局，系统推进自然资源高水平保护和高效利用，发挥全国先进制造业基地、区域性科技创新高地和文化创意基地、风景旅游目的地等功能，全面提高国土空间治理能力，支撑更高质量、更有效率、更加公平、更可持续和更为安全的发展，促进经济社会发展全面绿色转型，建设人与自然和谐共生的现代化城市。</w:t>
      </w:r>
    </w:p>
    <w:p w14:paraId="78AA2390">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规划依据</w:t>
      </w:r>
    </w:p>
    <w:p w14:paraId="5E53D218">
      <w:pPr>
        <w:pStyle w:val="35"/>
        <w:numPr>
          <w:ilvl w:val="255"/>
          <w:numId w:val="0"/>
        </w:numPr>
        <w:adjustRightInd w:val="0"/>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1</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《中华人民共和国土地管理法》</w:t>
      </w:r>
    </w:p>
    <w:p w14:paraId="0927A93A">
      <w:pPr>
        <w:pStyle w:val="35"/>
        <w:numPr>
          <w:ilvl w:val="255"/>
          <w:numId w:val="0"/>
        </w:numPr>
        <w:adjustRightInd w:val="0"/>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2</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《中华人民共和国城乡规划法》</w:t>
      </w:r>
    </w:p>
    <w:p w14:paraId="48529DC8">
      <w:pPr>
        <w:pStyle w:val="35"/>
        <w:numPr>
          <w:ilvl w:val="255"/>
          <w:numId w:val="0"/>
        </w:numPr>
        <w:adjustRightInd w:val="0"/>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3</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《中共中央国务院关于建立国土空间规划体系并监督实施的若干意见》</w:t>
      </w:r>
    </w:p>
    <w:p w14:paraId="6296A0E4">
      <w:pPr>
        <w:pStyle w:val="35"/>
        <w:numPr>
          <w:ilvl w:val="255"/>
          <w:numId w:val="0"/>
        </w:numPr>
        <w:adjustRightInd w:val="0"/>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4</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《中共中央办公厅国务院办公厅印发〈关于在国土空间规划中统筹划定落实三条控制线的指导意见〉的通知》</w:t>
      </w:r>
    </w:p>
    <w:p w14:paraId="012D7CB4">
      <w:pPr>
        <w:pStyle w:val="35"/>
        <w:numPr>
          <w:ilvl w:val="255"/>
          <w:numId w:val="0"/>
        </w:numPr>
        <w:adjustRightInd w:val="0"/>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5</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《中华人民共和国国民经济和社会发展第十四个五年规划和</w:t>
      </w:r>
      <w:r>
        <w:rPr>
          <w:rFonts w:hint="eastAsia" w:ascii="宋体" w:hAnsi="宋体" w:eastAsia="宋体" w:cs="宋体"/>
          <w:color w:val="000000" w:themeColor="text1"/>
          <w:sz w:val="32"/>
          <w:szCs w:val="32"/>
        </w:rPr>
        <w:t>2035</w:t>
      </w:r>
      <w:r>
        <w:rPr>
          <w:rFonts w:hint="eastAsia" w:ascii="宋体" w:hAnsi="宋体" w:eastAsia="宋体" w:cs="宋体"/>
          <w:color w:val="000000" w:themeColor="text1"/>
          <w:sz w:val="32"/>
          <w:szCs w:val="32"/>
        </w:rPr>
        <w:t>年远景目标纲要》</w:t>
      </w:r>
    </w:p>
    <w:p w14:paraId="3737A713">
      <w:pPr>
        <w:pStyle w:val="35"/>
        <w:numPr>
          <w:ilvl w:val="255"/>
          <w:numId w:val="0"/>
        </w:numPr>
        <w:adjustRightInd w:val="0"/>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6</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《全国国土空间规划纲要（</w:t>
      </w:r>
      <w:r>
        <w:rPr>
          <w:rFonts w:hint="eastAsia" w:ascii="宋体" w:hAnsi="宋体" w:eastAsia="宋体" w:cs="宋体"/>
          <w:color w:val="000000" w:themeColor="text1"/>
          <w:sz w:val="32"/>
          <w:szCs w:val="32"/>
        </w:rPr>
        <w:t>2021</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2035</w:t>
      </w:r>
      <w:r>
        <w:rPr>
          <w:rFonts w:hint="eastAsia" w:ascii="宋体" w:hAnsi="宋体" w:eastAsia="宋体" w:cs="宋体"/>
          <w:color w:val="000000" w:themeColor="text1"/>
          <w:sz w:val="32"/>
          <w:szCs w:val="32"/>
        </w:rPr>
        <w:t>年）》</w:t>
      </w:r>
    </w:p>
    <w:p w14:paraId="2FB06064">
      <w:pPr>
        <w:pStyle w:val="35"/>
        <w:numPr>
          <w:ilvl w:val="255"/>
          <w:numId w:val="0"/>
        </w:numPr>
        <w:adjustRightInd w:val="0"/>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7</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《长江经济带发展规划纲要》</w:t>
      </w:r>
    </w:p>
    <w:p w14:paraId="62905F8A">
      <w:pPr>
        <w:pStyle w:val="35"/>
        <w:numPr>
          <w:ilvl w:val="255"/>
          <w:numId w:val="0"/>
        </w:numPr>
        <w:adjustRightInd w:val="0"/>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8</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《长江三角洲区域一体化发展规划纲要》</w:t>
      </w:r>
    </w:p>
    <w:p w14:paraId="1D7C60AE">
      <w:pPr>
        <w:pStyle w:val="35"/>
        <w:numPr>
          <w:ilvl w:val="255"/>
          <w:numId w:val="0"/>
        </w:numPr>
        <w:adjustRightInd w:val="0"/>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lang w:val="en"/>
        </w:rPr>
        <w:t>9</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《江苏省国土空间规划（</w:t>
      </w:r>
      <w:r>
        <w:rPr>
          <w:rFonts w:hint="eastAsia" w:ascii="宋体" w:hAnsi="宋体" w:eastAsia="宋体" w:cs="宋体"/>
          <w:color w:val="000000" w:themeColor="text1"/>
          <w:sz w:val="32"/>
          <w:szCs w:val="32"/>
        </w:rPr>
        <w:t>2021</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2035</w:t>
      </w:r>
      <w:r>
        <w:rPr>
          <w:rFonts w:hint="eastAsia" w:ascii="宋体" w:hAnsi="宋体" w:eastAsia="宋体" w:cs="宋体"/>
          <w:color w:val="000000" w:themeColor="text1"/>
          <w:sz w:val="32"/>
          <w:szCs w:val="32"/>
        </w:rPr>
        <w:t>年）》</w:t>
      </w:r>
    </w:p>
    <w:p w14:paraId="7248EFA0">
      <w:pPr>
        <w:pStyle w:val="35"/>
        <w:numPr>
          <w:ilvl w:val="255"/>
          <w:numId w:val="0"/>
        </w:numPr>
        <w:adjustRightInd w:val="0"/>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1</w:t>
      </w:r>
      <w:r>
        <w:rPr>
          <w:rFonts w:hint="eastAsia" w:ascii="宋体" w:hAnsi="宋体" w:eastAsia="宋体" w:cs="宋体"/>
          <w:color w:val="000000" w:themeColor="text1"/>
          <w:sz w:val="32"/>
          <w:szCs w:val="32"/>
          <w:lang w:val="en"/>
        </w:rPr>
        <w:t>0</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其他相关法律法规和技术规范</w:t>
      </w:r>
    </w:p>
    <w:p w14:paraId="4B7EE611">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规划范围</w:t>
      </w:r>
    </w:p>
    <w:p w14:paraId="700151C2">
      <w:pPr>
        <w:pStyle w:val="35"/>
        <w:autoSpaceDE w:val="0"/>
        <w:autoSpaceDN w:val="0"/>
        <w:adjustRightInd w:val="0"/>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规划范围分为市域和中心城区两个层次。市域规划范围为无锡市行政辖区，包括江阴市、宜兴市和市辖区，其中，市辖区包括梁溪区、锡山区、惠山区、滨湖区和新吴区。中心城区规划范围包括梁溪区全域，锡山区、惠山区、滨湖区和新吴区部分街道，面积约</w:t>
      </w:r>
      <w:r>
        <w:rPr>
          <w:rFonts w:hint="eastAsia" w:ascii="宋体" w:hAnsi="宋体" w:eastAsia="宋体" w:cs="宋体"/>
          <w:color w:val="000000" w:themeColor="text1"/>
          <w:sz w:val="32"/>
          <w:szCs w:val="32"/>
        </w:rPr>
        <w:t>408</w:t>
      </w:r>
      <w:r>
        <w:rPr>
          <w:rFonts w:hint="eastAsia" w:ascii="宋体" w:hAnsi="宋体" w:eastAsia="宋体" w:cs="宋体"/>
          <w:color w:val="000000" w:themeColor="text1"/>
          <w:sz w:val="32"/>
          <w:szCs w:val="32"/>
        </w:rPr>
        <w:t>平方千米。</w:t>
      </w:r>
    </w:p>
    <w:p w14:paraId="038D72FA">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规划期限</w:t>
      </w:r>
    </w:p>
    <w:p w14:paraId="0DE64F1D">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规划基期为</w:t>
      </w:r>
      <w:r>
        <w:rPr>
          <w:rFonts w:hint="eastAsia" w:ascii="宋体" w:hAnsi="宋体" w:eastAsia="宋体" w:cs="宋体"/>
          <w:color w:val="000000" w:themeColor="text1"/>
          <w:sz w:val="32"/>
          <w:szCs w:val="32"/>
        </w:rPr>
        <w:t>2020</w:t>
      </w:r>
      <w:r>
        <w:rPr>
          <w:rFonts w:hint="eastAsia" w:ascii="宋体" w:hAnsi="宋体" w:eastAsia="宋体" w:cs="宋体"/>
          <w:color w:val="000000" w:themeColor="text1"/>
          <w:sz w:val="32"/>
          <w:szCs w:val="32"/>
        </w:rPr>
        <w:t>年，规划期限为</w:t>
      </w:r>
      <w:r>
        <w:rPr>
          <w:rFonts w:hint="eastAsia" w:ascii="宋体" w:hAnsi="宋体" w:eastAsia="宋体" w:cs="宋体"/>
          <w:color w:val="000000" w:themeColor="text1"/>
          <w:sz w:val="32"/>
          <w:szCs w:val="32"/>
        </w:rPr>
        <w:t>2021</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2035</w:t>
      </w:r>
      <w:r>
        <w:rPr>
          <w:rFonts w:hint="eastAsia" w:ascii="宋体" w:hAnsi="宋体" w:eastAsia="宋体" w:cs="宋体"/>
          <w:color w:val="000000" w:themeColor="text1"/>
          <w:sz w:val="32"/>
          <w:szCs w:val="32"/>
        </w:rPr>
        <w:t>年，近期到</w:t>
      </w:r>
      <w:r>
        <w:rPr>
          <w:rFonts w:hint="eastAsia" w:ascii="宋体" w:hAnsi="宋体" w:eastAsia="宋体" w:cs="宋体"/>
          <w:color w:val="000000" w:themeColor="text1"/>
          <w:sz w:val="32"/>
          <w:szCs w:val="32"/>
        </w:rPr>
        <w:t>2025</w:t>
      </w:r>
      <w:r>
        <w:rPr>
          <w:rFonts w:hint="eastAsia" w:ascii="宋体" w:hAnsi="宋体" w:eastAsia="宋体" w:cs="宋体"/>
          <w:color w:val="000000" w:themeColor="text1"/>
          <w:sz w:val="32"/>
          <w:szCs w:val="32"/>
        </w:rPr>
        <w:t>年，远景展望到</w:t>
      </w:r>
      <w:r>
        <w:rPr>
          <w:rFonts w:hint="eastAsia" w:ascii="宋体" w:hAnsi="宋体" w:eastAsia="宋体" w:cs="宋体"/>
          <w:color w:val="000000" w:themeColor="text1"/>
          <w:sz w:val="32"/>
          <w:szCs w:val="32"/>
        </w:rPr>
        <w:t>2050</w:t>
      </w:r>
      <w:r>
        <w:rPr>
          <w:rFonts w:hint="eastAsia" w:ascii="宋体" w:hAnsi="宋体" w:eastAsia="宋体" w:cs="宋体"/>
          <w:color w:val="000000" w:themeColor="text1"/>
          <w:sz w:val="32"/>
          <w:szCs w:val="32"/>
        </w:rPr>
        <w:t>年。</w:t>
      </w:r>
    </w:p>
    <w:p w14:paraId="1A6626F4">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规划效力</w:t>
      </w:r>
    </w:p>
    <w:p w14:paraId="2BE15819">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本规划是无锡面向</w:t>
      </w:r>
      <w:r>
        <w:rPr>
          <w:rFonts w:hint="eastAsia" w:ascii="宋体" w:hAnsi="宋体" w:eastAsia="宋体" w:cs="宋体"/>
          <w:color w:val="000000" w:themeColor="text1"/>
          <w:sz w:val="32"/>
          <w:szCs w:val="32"/>
        </w:rPr>
        <w:t>2035</w:t>
      </w:r>
      <w:r>
        <w:rPr>
          <w:rFonts w:hint="eastAsia" w:ascii="宋体" w:hAnsi="宋体" w:eastAsia="宋体" w:cs="宋体"/>
          <w:color w:val="000000" w:themeColor="text1"/>
          <w:sz w:val="32"/>
          <w:szCs w:val="32"/>
        </w:rPr>
        <w:t>年可持续发展的空间蓝图，是各类开发保护建设活动的政策和总纲，是编制下层次国土空间规划和相关专项规划的法定依据和基础。本规划纳入国土空间规划</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一张图</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实施监督信息系统，以加强规划实施监督。</w:t>
      </w:r>
    </w:p>
    <w:p w14:paraId="21AE3AFB">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本规划自国务院批复之日起生效，由无锡市人民政府组织实施，任何单位和个人不得违反和擅自修改。因国家重大战略和重大政策调整、国家重大项目建设或者行政区划调整等，确需修改本规划的，须按法定程序进行修改。</w:t>
      </w:r>
    </w:p>
    <w:bookmarkEnd w:id="3"/>
    <w:bookmarkEnd w:id="4"/>
    <w:p w14:paraId="558B9F90">
      <w:pPr>
        <w:spacing w:line="600" w:lineRule="exact"/>
        <w:ind w:firstLine="640" w:firstLineChars="200"/>
        <w:rPr>
          <w:rFonts w:hint="eastAsia" w:ascii="宋体" w:hAnsi="宋体" w:eastAsia="宋体" w:cs="宋体"/>
          <w:color w:val="000000" w:themeColor="text1"/>
          <w:sz w:val="32"/>
          <w:szCs w:val="32"/>
        </w:rPr>
        <w:sectPr>
          <w:footerReference r:id="rId8" w:type="default"/>
          <w:pgSz w:w="11906" w:h="16838"/>
          <w:pgMar w:top="1440" w:right="1800" w:bottom="1440" w:left="1800" w:header="851" w:footer="992" w:gutter="0"/>
          <w:cols w:space="425" w:num="1"/>
          <w:docGrid w:type="lines" w:linePitch="312" w:charSpace="0"/>
        </w:sectPr>
      </w:pPr>
    </w:p>
    <w:p w14:paraId="69174C3B">
      <w:pPr>
        <w:pStyle w:val="2"/>
        <w:numPr>
          <w:ilvl w:val="0"/>
          <w:numId w:val="2"/>
        </w:numPr>
        <w:snapToGrid w:val="0"/>
        <w:spacing w:before="0" w:after="156" w:afterLines="50" w:line="500" w:lineRule="exact"/>
        <w:ind w:left="0" w:firstLine="0"/>
        <w:jc w:val="center"/>
        <w:rPr>
          <w:rFonts w:hint="eastAsia" w:ascii="宋体" w:hAnsi="宋体" w:eastAsia="宋体" w:cs="宋体"/>
          <w:b w:val="0"/>
          <w:color w:val="000000" w:themeColor="text1"/>
          <w:sz w:val="36"/>
          <w:szCs w:val="36"/>
        </w:rPr>
      </w:pPr>
      <w:bookmarkStart w:id="11" w:name="_Toc161582225"/>
      <w:bookmarkStart w:id="12" w:name="_Toc176945793"/>
      <w:bookmarkStart w:id="13" w:name="_Toc185189005"/>
      <w:bookmarkStart w:id="14" w:name="_Toc6454"/>
      <w:r>
        <w:rPr>
          <w:rFonts w:hint="eastAsia" w:ascii="宋体" w:hAnsi="宋体" w:eastAsia="宋体" w:cs="宋体"/>
          <w:b w:val="0"/>
          <w:color w:val="000000" w:themeColor="text1"/>
          <w:sz w:val="36"/>
          <w:szCs w:val="36"/>
        </w:rPr>
        <w:t>现状分析与</w:t>
      </w:r>
      <w:bookmarkEnd w:id="11"/>
      <w:bookmarkEnd w:id="12"/>
      <w:r>
        <w:rPr>
          <w:rFonts w:hint="eastAsia" w:ascii="宋体" w:hAnsi="宋体" w:eastAsia="宋体" w:cs="宋体"/>
          <w:b w:val="0"/>
          <w:color w:val="000000" w:themeColor="text1"/>
          <w:sz w:val="36"/>
          <w:szCs w:val="36"/>
        </w:rPr>
        <w:t>问题挑战</w:t>
      </w:r>
      <w:bookmarkEnd w:id="13"/>
      <w:bookmarkEnd w:id="14"/>
    </w:p>
    <w:p w14:paraId="657C112D">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现状特征</w:t>
      </w:r>
    </w:p>
    <w:p w14:paraId="6B808CC1">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无锡市位于长江三角洲平原腹地，北枕长江，南濒太湖，大运河穿城而过。南部为水网平原，中部为水网圩田，西南部零散分布低山丘陵。全市四季分明、降水丰沛、雨热同季、土壤肥沃，国土空间具有农业种植与城镇建设皆宜的特点。全市常住人口规模由</w:t>
      </w:r>
      <w:r>
        <w:rPr>
          <w:rFonts w:hint="eastAsia" w:ascii="宋体" w:hAnsi="宋体" w:eastAsia="宋体" w:cs="宋体"/>
          <w:color w:val="000000" w:themeColor="text1"/>
          <w:sz w:val="32"/>
          <w:szCs w:val="32"/>
        </w:rPr>
        <w:t>2010</w:t>
      </w:r>
      <w:r>
        <w:rPr>
          <w:rFonts w:hint="eastAsia" w:ascii="宋体" w:hAnsi="宋体" w:eastAsia="宋体" w:cs="宋体"/>
          <w:color w:val="000000" w:themeColor="text1"/>
          <w:sz w:val="32"/>
          <w:szCs w:val="32"/>
        </w:rPr>
        <w:t>年的</w:t>
      </w:r>
      <w:r>
        <w:rPr>
          <w:rFonts w:hint="eastAsia" w:ascii="宋体" w:hAnsi="宋体" w:eastAsia="宋体" w:cs="宋体"/>
          <w:color w:val="000000" w:themeColor="text1"/>
          <w:sz w:val="32"/>
          <w:szCs w:val="32"/>
        </w:rPr>
        <w:t>637</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26</w:t>
      </w:r>
      <w:r>
        <w:rPr>
          <w:rFonts w:hint="eastAsia" w:ascii="宋体" w:hAnsi="宋体" w:eastAsia="宋体" w:cs="宋体"/>
          <w:color w:val="000000" w:themeColor="text1"/>
          <w:sz w:val="32"/>
          <w:szCs w:val="32"/>
        </w:rPr>
        <w:t>万人增长至</w:t>
      </w:r>
      <w:r>
        <w:rPr>
          <w:rFonts w:hint="eastAsia" w:ascii="宋体" w:hAnsi="宋体" w:eastAsia="宋体" w:cs="宋体"/>
          <w:color w:val="000000" w:themeColor="text1"/>
          <w:sz w:val="32"/>
          <w:szCs w:val="32"/>
        </w:rPr>
        <w:t>2020</w:t>
      </w:r>
      <w:r>
        <w:rPr>
          <w:rFonts w:hint="eastAsia" w:ascii="宋体" w:hAnsi="宋体" w:eastAsia="宋体" w:cs="宋体"/>
          <w:color w:val="000000" w:themeColor="text1"/>
          <w:sz w:val="32"/>
          <w:szCs w:val="32"/>
        </w:rPr>
        <w:t>年的</w:t>
      </w:r>
      <w:r>
        <w:rPr>
          <w:rFonts w:hint="eastAsia" w:ascii="宋体" w:hAnsi="宋体" w:eastAsia="宋体" w:cs="宋体"/>
          <w:color w:val="000000" w:themeColor="text1"/>
          <w:sz w:val="32"/>
          <w:szCs w:val="32"/>
        </w:rPr>
        <w:t>746</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40</w:t>
      </w:r>
      <w:r>
        <w:rPr>
          <w:rFonts w:hint="eastAsia" w:ascii="宋体" w:hAnsi="宋体" w:eastAsia="宋体" w:cs="宋体"/>
          <w:color w:val="000000" w:themeColor="text1"/>
          <w:sz w:val="32"/>
          <w:szCs w:val="32"/>
        </w:rPr>
        <w:t>万人，常住人口城镇化率由</w:t>
      </w:r>
      <w:r>
        <w:rPr>
          <w:rFonts w:hint="eastAsia" w:ascii="宋体" w:hAnsi="宋体" w:eastAsia="宋体" w:cs="宋体"/>
          <w:color w:val="000000" w:themeColor="text1"/>
          <w:sz w:val="32"/>
          <w:szCs w:val="32"/>
        </w:rPr>
        <w:t>2010</w:t>
      </w:r>
      <w:r>
        <w:rPr>
          <w:rFonts w:hint="eastAsia" w:ascii="宋体" w:hAnsi="宋体" w:eastAsia="宋体" w:cs="宋体"/>
          <w:color w:val="000000" w:themeColor="text1"/>
          <w:sz w:val="32"/>
          <w:szCs w:val="32"/>
        </w:rPr>
        <w:t>年的</w:t>
      </w:r>
      <w:r>
        <w:rPr>
          <w:rFonts w:hint="eastAsia" w:ascii="宋体" w:hAnsi="宋体" w:eastAsia="宋体" w:cs="宋体"/>
          <w:color w:val="000000" w:themeColor="text1"/>
          <w:sz w:val="32"/>
          <w:szCs w:val="32"/>
        </w:rPr>
        <w:t>70</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31%</w:t>
      </w:r>
      <w:r>
        <w:rPr>
          <w:rFonts w:hint="eastAsia" w:ascii="宋体" w:hAnsi="宋体" w:eastAsia="宋体" w:cs="宋体"/>
          <w:color w:val="000000" w:themeColor="text1"/>
          <w:sz w:val="32"/>
          <w:szCs w:val="32"/>
        </w:rPr>
        <w:t>提升到</w:t>
      </w:r>
      <w:r>
        <w:rPr>
          <w:rFonts w:hint="eastAsia" w:ascii="宋体" w:hAnsi="宋体" w:eastAsia="宋体" w:cs="宋体"/>
          <w:color w:val="000000" w:themeColor="text1"/>
          <w:sz w:val="32"/>
          <w:szCs w:val="32"/>
        </w:rPr>
        <w:t>2020</w:t>
      </w:r>
      <w:r>
        <w:rPr>
          <w:rFonts w:hint="eastAsia" w:ascii="宋体" w:hAnsi="宋体" w:eastAsia="宋体" w:cs="宋体"/>
          <w:color w:val="000000" w:themeColor="text1"/>
          <w:sz w:val="32"/>
          <w:szCs w:val="32"/>
        </w:rPr>
        <w:t>年的</w:t>
      </w:r>
      <w:r>
        <w:rPr>
          <w:rFonts w:hint="eastAsia" w:ascii="宋体" w:hAnsi="宋体" w:eastAsia="宋体" w:cs="宋体"/>
          <w:color w:val="000000" w:themeColor="text1"/>
          <w:sz w:val="32"/>
          <w:szCs w:val="32"/>
        </w:rPr>
        <w:t>82</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79%</w:t>
      </w:r>
      <w:r>
        <w:rPr>
          <w:rFonts w:hint="eastAsia" w:ascii="宋体" w:hAnsi="宋体" w:eastAsia="宋体" w:cs="宋体"/>
          <w:color w:val="000000" w:themeColor="text1"/>
          <w:sz w:val="32"/>
          <w:szCs w:val="32"/>
        </w:rPr>
        <w:t>，人口集聚趋势进一步增强。</w:t>
      </w:r>
    </w:p>
    <w:p w14:paraId="35B55F73">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自然资源保护稳中向好。</w:t>
      </w:r>
      <w:r>
        <w:rPr>
          <w:rFonts w:hint="eastAsia" w:ascii="宋体" w:hAnsi="宋体" w:eastAsia="宋体" w:cs="宋体"/>
          <w:color w:val="000000" w:themeColor="text1"/>
          <w:sz w:val="32"/>
          <w:szCs w:val="32"/>
        </w:rPr>
        <w:t>严格落实耕地和永久基本农田保护任务，耕地质量稳步提升。生态系统整体性和稳定性较好，无锡市环太湖地区、宜兴市南部丘陵地区和江阴市东北部地区植被覆盖率明显提高，长江（江阴段）、太湖无锡水域生态修复治理成效显著。</w:t>
      </w:r>
    </w:p>
    <w:p w14:paraId="0D58B818">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国土空间格局持续优化。</w:t>
      </w:r>
      <w:r>
        <w:rPr>
          <w:rFonts w:hint="eastAsia" w:ascii="宋体" w:hAnsi="宋体" w:eastAsia="宋体" w:cs="宋体"/>
          <w:color w:val="000000" w:themeColor="text1"/>
          <w:sz w:val="32"/>
          <w:szCs w:val="32"/>
        </w:rPr>
        <w:t>基本形成多中心、组团式、网络化空间结构，市域一体化发展格局初见成效。国家级、省级开发区持续引领产业转型发展，产业空间逐步集聚。低效用地盘活利用力度加大，土地利用效率和产出效益提升，建设用地地均地区生产总值居全省前列。</w:t>
      </w:r>
    </w:p>
    <w:p w14:paraId="4BF9DD0E">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人居环境不断改善。</w:t>
      </w:r>
      <w:r>
        <w:rPr>
          <w:rFonts w:hint="eastAsia" w:ascii="宋体" w:hAnsi="宋体" w:eastAsia="宋体" w:cs="宋体"/>
          <w:color w:val="000000" w:themeColor="text1"/>
          <w:sz w:val="32"/>
          <w:szCs w:val="32"/>
        </w:rPr>
        <w:t>山水城市特色逐步彰显，生态环境和景观风貌持续提升，环湖、沿山地区及大运河沿线形成高品质的公共开敞空间。历史文化遗产保护的整体性加强，历史文化名城特色与影响力不断提升。基本公共服务覆盖水平持续提高，高品质公共服务设施持续完善。城市公园数量和品质稳步提升，公园绿地布局的均衡性不断增强，城市绿道不断完善。</w:t>
      </w:r>
    </w:p>
    <w:p w14:paraId="75B73B95">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国土空间支撑体系不断完善。</w:t>
      </w:r>
      <w:r>
        <w:rPr>
          <w:rFonts w:hint="eastAsia" w:ascii="宋体" w:hAnsi="宋体" w:eastAsia="宋体" w:cs="宋体"/>
          <w:color w:val="000000" w:themeColor="text1"/>
          <w:sz w:val="32"/>
          <w:szCs w:val="32"/>
        </w:rPr>
        <w:t>区域交通基础设施建设稳步推进，无锡硕放机场、无锡（江阴）港、内河枢纽港和铁路客货运枢纽运输能力持续提升。市域交通设施一体化建设进程加速，市辖区公路、轨道、快速路网主骨架基本建设成形，交通环境和出行品质显著改善。新型基础设施建设快速推进，城市智慧化治理水平不断提高。</w:t>
      </w:r>
    </w:p>
    <w:p w14:paraId="2E990BDD">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问题风险</w:t>
      </w:r>
    </w:p>
    <w:p w14:paraId="15ED2C20">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资源环境约束趋紧，开发保护亟待协调。</w:t>
      </w:r>
      <w:r>
        <w:rPr>
          <w:rFonts w:hint="eastAsia" w:ascii="宋体" w:hAnsi="宋体" w:eastAsia="宋体" w:cs="宋体"/>
          <w:color w:val="000000" w:themeColor="text1"/>
          <w:sz w:val="32"/>
          <w:szCs w:val="32"/>
        </w:rPr>
        <w:t>耕地资源总量少，空间分布不均衡，后备资源匮乏，耕地保护和城乡发展的矛盾较大。长江（江阴段）岸线资源集约利用水平不高，岸线功能布局与生态保护存在一定矛盾。</w:t>
      </w:r>
    </w:p>
    <w:p w14:paraId="58BA7DBC">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国土空间安全风险依然存在，安全韧性有待提升。</w:t>
      </w:r>
      <w:r>
        <w:rPr>
          <w:rFonts w:hint="eastAsia" w:ascii="宋体" w:hAnsi="宋体" w:eastAsia="宋体" w:cs="宋体"/>
          <w:color w:val="000000" w:themeColor="text1"/>
          <w:sz w:val="32"/>
          <w:szCs w:val="32"/>
        </w:rPr>
        <w:t>全球气候变化影响加深，暴雨、高温等极端灾害性天气更加频发，城市防洪防涝等基础设施的风险应对能力受到挑战，火灾、重大危险源以及流行性疾病传播等防范能力还需提升。</w:t>
      </w:r>
    </w:p>
    <w:p w14:paraId="08F06D42">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交通枢纽能级不高，协同发展有待加强。</w:t>
      </w:r>
      <w:r>
        <w:rPr>
          <w:rFonts w:hint="eastAsia" w:ascii="宋体" w:hAnsi="宋体" w:eastAsia="宋体" w:cs="宋体"/>
          <w:color w:val="000000" w:themeColor="text1"/>
          <w:sz w:val="32"/>
          <w:szCs w:val="32"/>
        </w:rPr>
        <w:t>长三角一体化发展趋势下，无锡市的区域优势更为突出，但机场、高铁、港口等交通枢纽能级不高，链接国际、协同区域的能力有待提升。相邻城市跨界地区的交通、市政基础设施协同仍需加强，市域快速路网、轨道交通网、油气管网有待完善。</w:t>
      </w:r>
    </w:p>
    <w:p w14:paraId="286301E8">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产业空间集聚度不够，创新发展仍需加强。</w:t>
      </w:r>
      <w:r>
        <w:rPr>
          <w:rFonts w:hint="eastAsia" w:ascii="宋体" w:hAnsi="宋体" w:eastAsia="宋体" w:cs="宋体"/>
          <w:color w:val="000000" w:themeColor="text1"/>
          <w:sz w:val="32"/>
          <w:szCs w:val="32"/>
        </w:rPr>
        <w:t>新一轮科技革命和产业变革正在加速，国际贸易保护主义、单边主义加剧，产业链供应链安全要求不断提升，无锡市传统制造业优势有所减弱，新兴产业规模尚未形成有力支撑。创新要素密度不高，具有带动引领作用的生产性研发企业占比较低，创新载体尚未形成较大优势，创新发展有待强化。</w:t>
      </w:r>
    </w:p>
    <w:p w14:paraId="6C32E40D">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公共资源配置不均，设施供给有待提质。</w:t>
      </w:r>
      <w:r>
        <w:rPr>
          <w:rFonts w:hint="eastAsia" w:ascii="宋体" w:hAnsi="宋体" w:eastAsia="宋体" w:cs="宋体"/>
          <w:color w:val="000000" w:themeColor="text1"/>
          <w:sz w:val="32"/>
          <w:szCs w:val="32"/>
        </w:rPr>
        <w:t>高等教育资源偏少，优质公共服务设施供给不均衡不充分等问题依然存在，城市品质仍有待提升。应对人口少子化、老龄化等变化趋势，城市公共服务设施水平还需进一步提升。</w:t>
      </w:r>
    </w:p>
    <w:p w14:paraId="3C229666">
      <w:pPr>
        <w:spacing w:line="600" w:lineRule="exact"/>
        <w:ind w:firstLine="640" w:firstLineChars="200"/>
        <w:rPr>
          <w:rFonts w:hint="eastAsia" w:ascii="宋体" w:hAnsi="宋体" w:eastAsia="宋体" w:cs="宋体"/>
          <w:color w:val="000000" w:themeColor="text1"/>
          <w:sz w:val="32"/>
          <w:szCs w:val="32"/>
        </w:rPr>
        <w:sectPr>
          <w:pgSz w:w="11906" w:h="16838"/>
          <w:pgMar w:top="1440" w:right="1800" w:bottom="1440" w:left="1800" w:header="851" w:footer="992" w:gutter="0"/>
          <w:cols w:space="425" w:num="1"/>
          <w:docGrid w:type="lines" w:linePitch="312" w:charSpace="0"/>
        </w:sectPr>
      </w:pPr>
    </w:p>
    <w:p w14:paraId="08992D70">
      <w:pPr>
        <w:pStyle w:val="2"/>
        <w:numPr>
          <w:ilvl w:val="0"/>
          <w:numId w:val="2"/>
        </w:numPr>
        <w:snapToGrid w:val="0"/>
        <w:spacing w:before="0" w:after="156" w:afterLines="50" w:line="500" w:lineRule="exact"/>
        <w:ind w:left="0" w:firstLine="0"/>
        <w:jc w:val="center"/>
        <w:rPr>
          <w:rFonts w:hint="eastAsia" w:ascii="宋体" w:hAnsi="宋体" w:eastAsia="宋体" w:cs="宋体"/>
          <w:b w:val="0"/>
          <w:color w:val="000000" w:themeColor="text1"/>
          <w:sz w:val="36"/>
          <w:szCs w:val="36"/>
        </w:rPr>
      </w:pPr>
      <w:bookmarkStart w:id="15" w:name="_Toc139397145"/>
      <w:bookmarkStart w:id="16" w:name="_Toc161582226"/>
      <w:bookmarkStart w:id="17" w:name="_Toc156410558"/>
      <w:bookmarkStart w:id="18" w:name="_Toc19820"/>
      <w:bookmarkStart w:id="19" w:name="_Toc176945794"/>
      <w:bookmarkStart w:id="20" w:name="_Toc185189006"/>
      <w:r>
        <w:rPr>
          <w:rFonts w:hint="eastAsia" w:ascii="宋体" w:hAnsi="宋体" w:eastAsia="宋体" w:cs="宋体"/>
          <w:b w:val="0"/>
          <w:color w:val="000000" w:themeColor="text1"/>
          <w:sz w:val="36"/>
          <w:szCs w:val="36"/>
        </w:rPr>
        <w:t>城市性质与</w:t>
      </w:r>
      <w:bookmarkEnd w:id="15"/>
      <w:bookmarkEnd w:id="16"/>
      <w:bookmarkEnd w:id="17"/>
      <w:r>
        <w:rPr>
          <w:rFonts w:hint="eastAsia" w:ascii="宋体" w:hAnsi="宋体" w:eastAsia="宋体" w:cs="宋体"/>
          <w:b w:val="0"/>
          <w:color w:val="000000" w:themeColor="text1"/>
          <w:sz w:val="36"/>
          <w:szCs w:val="36"/>
        </w:rPr>
        <w:t>目标战略</w:t>
      </w:r>
      <w:bookmarkEnd w:id="18"/>
      <w:bookmarkEnd w:id="19"/>
      <w:bookmarkEnd w:id="20"/>
    </w:p>
    <w:p w14:paraId="7E5D93BC">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bookmarkStart w:id="21" w:name="_Toc77146208"/>
      <w:r>
        <w:rPr>
          <w:rFonts w:hint="eastAsia" w:ascii="宋体" w:hAnsi="宋体" w:eastAsia="宋体" w:cs="宋体"/>
          <w:color w:val="000000" w:themeColor="text1"/>
          <w:sz w:val="32"/>
        </w:rPr>
        <w:t>城市性质和核心功能定位</w:t>
      </w:r>
    </w:p>
    <w:p w14:paraId="54C02CA8">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无锡市是长三角地区重要的中心城市，国家历史文化名城，全国性综合交通枢纽城市。核心功能定位是全国先进制造业基地，区域性科技创新高地和文化创意基地，具有湖滨山水特色的风景旅游目的地。</w:t>
      </w:r>
    </w:p>
    <w:p w14:paraId="193EDE72">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全国先进制造业基地</w:t>
      </w:r>
      <w:r>
        <w:rPr>
          <w:rFonts w:hint="eastAsia" w:ascii="宋体" w:hAnsi="宋体" w:eastAsia="宋体" w:cs="宋体"/>
          <w:color w:val="000000" w:themeColor="text1"/>
          <w:sz w:val="32"/>
          <w:szCs w:val="32"/>
        </w:rPr>
        <w:t>。完善以先进制造业为骨干的现代化产业体系，做大做强现代产业集群，培育壮大优势产业，前瞻布局未来产业，积极推进制造业强链补链延链。优化制造业产业空间布局，推进产业向园区集聚，完善产业空间的基础设施和公共服务设施布局，推进生产服务型国家物流枢纽建设，打造具有全国影响力的先进制造业基地。</w:t>
      </w:r>
    </w:p>
    <w:p w14:paraId="7BD28BF4">
      <w:pPr>
        <w:pStyle w:val="35"/>
        <w:spacing w:before="0" w:beforeAutospacing="0" w:after="0" w:afterAutospacing="0"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区域性科技创新高地和文化创意基地</w:t>
      </w:r>
      <w:r>
        <w:rPr>
          <w:rFonts w:hint="eastAsia" w:ascii="宋体" w:hAnsi="宋体" w:eastAsia="宋体" w:cs="宋体"/>
          <w:color w:val="000000" w:themeColor="text1"/>
          <w:sz w:val="32"/>
          <w:szCs w:val="32"/>
        </w:rPr>
        <w:t>。聚焦国际前沿科技和先进制造业产业升级需求，加强与上海市、南京市等科技创新高地的联动发展，加快培育高端产业创新平台，强化企业科技创新主体地位，促进创新要素集聚，高水平建设太湖湾科技创新带，与</w:t>
      </w:r>
      <w:r>
        <w:rPr>
          <w:rFonts w:hint="eastAsia" w:ascii="宋体" w:hAnsi="宋体" w:eastAsia="宋体" w:cs="宋体"/>
          <w:color w:val="000000" w:themeColor="text1"/>
          <w:sz w:val="32"/>
          <w:szCs w:val="32"/>
          <w:lang w:eastAsia="zh-CN"/>
        </w:rPr>
        <w:t>环太湖城</w:t>
      </w:r>
      <w:r>
        <w:rPr>
          <w:rFonts w:hint="eastAsia" w:ascii="宋体" w:hAnsi="宋体" w:eastAsia="宋体" w:cs="宋体"/>
          <w:color w:val="000000" w:themeColor="text1"/>
          <w:sz w:val="32"/>
          <w:szCs w:val="32"/>
        </w:rPr>
        <w:t>市共建环太湖科技创新圈。以文化和科技融合为抓手，集聚创意设计、影视制作、文化旅游、数字技术等产业，依托湖滨山水、历史人文等资源激发文化创意活力，打造独具魅力的区域性文化创意基地。</w:t>
      </w:r>
    </w:p>
    <w:p w14:paraId="653974F1">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具有湖滨山水特色的风景旅游目的地</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6"/>
        </w:rPr>
        <w:t>发掘无锡市深厚的历史文化底蕴，</w:t>
      </w:r>
      <w:r>
        <w:rPr>
          <w:rFonts w:hint="eastAsia" w:ascii="宋体" w:hAnsi="宋体" w:eastAsia="宋体" w:cs="宋体"/>
          <w:color w:val="000000" w:themeColor="text1"/>
          <w:sz w:val="32"/>
          <w:szCs w:val="32"/>
        </w:rPr>
        <w:t>发挥长江、太湖、大运河等山水景观资源优势，优化山水景观格局，提升旅游服务设施支撑能力。强化太湖国家级风景名胜区旅游度假功能，彰显山水景观特色，建设以太湖山水为核心，自然风光与人文景观交相辉映，</w:t>
      </w:r>
      <w:r>
        <w:rPr>
          <w:rFonts w:hint="eastAsia" w:ascii="宋体" w:hAnsi="宋体" w:eastAsia="宋体" w:cs="宋体"/>
          <w:color w:val="000000" w:themeColor="text1"/>
          <w:sz w:val="32"/>
          <w:szCs w:val="36"/>
        </w:rPr>
        <w:t>融观光、度假、休闲、娱乐于一体的风景旅游目的地。</w:t>
      </w:r>
    </w:p>
    <w:p w14:paraId="51E9A820">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目标愿景</w:t>
      </w:r>
    </w:p>
    <w:p w14:paraId="7EF7F689">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全面推进中国式现代化无锡新实践，建设享誉海内外、富有独特魅力的</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太湖明珠、江南盛地</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w:t>
      </w:r>
    </w:p>
    <w:p w14:paraId="16513531">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2025</w:t>
      </w:r>
      <w:r>
        <w:rPr>
          <w:rFonts w:hint="eastAsia" w:ascii="宋体" w:hAnsi="宋体" w:eastAsia="宋体" w:cs="宋体"/>
          <w:color w:val="000000" w:themeColor="text1"/>
          <w:sz w:val="32"/>
          <w:szCs w:val="32"/>
        </w:rPr>
        <w:t>年，中国式现代化无锡新实践取得重要进展。生态环境明显改善，国土空间开发保护格局得到优化。市域一体化水平提高，协同发展格局基本形成。自然资源要素空间配置更加合理，城镇建设用地更加集约。城乡宜居品质持续改善，空间治理现代化水平显著提高。</w:t>
      </w:r>
    </w:p>
    <w:p w14:paraId="0ABF3241">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2035</w:t>
      </w:r>
      <w:r>
        <w:rPr>
          <w:rFonts w:hint="eastAsia" w:ascii="宋体" w:hAnsi="宋体" w:eastAsia="宋体" w:cs="宋体"/>
          <w:color w:val="000000" w:themeColor="text1"/>
          <w:sz w:val="32"/>
          <w:szCs w:val="32"/>
        </w:rPr>
        <w:t>年，全面实现中国式现代化无锡新实践。生态环境得到根本改善，形成优势互补、高质量发展的国土空间开发保护新格局。深度融入长三角一体化发展，市域形成一体化发展格局。全国性综合交通枢纽地位更加巩固，城市综合功能、发展能级显著提升。率先实现共同富裕的现代化，国土空间治理体系和治理能力现代化水平全面提升。</w:t>
      </w:r>
    </w:p>
    <w:p w14:paraId="410D6866">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展望</w:t>
      </w:r>
      <w:r>
        <w:rPr>
          <w:rFonts w:hint="eastAsia" w:ascii="宋体" w:hAnsi="宋体" w:eastAsia="宋体" w:cs="宋体"/>
          <w:color w:val="000000" w:themeColor="text1"/>
          <w:sz w:val="32"/>
          <w:szCs w:val="32"/>
        </w:rPr>
        <w:t>2050</w:t>
      </w:r>
      <w:r>
        <w:rPr>
          <w:rFonts w:hint="eastAsia" w:ascii="宋体" w:hAnsi="宋体" w:eastAsia="宋体" w:cs="宋体"/>
          <w:color w:val="000000" w:themeColor="text1"/>
          <w:sz w:val="32"/>
          <w:szCs w:val="32"/>
        </w:rPr>
        <w:t>年，全面建成社会主义现代化强市，成为享誉海内外、富有独特魅力的</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太湖明珠、江南盛地</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，实现人与自然和谐共生。</w:t>
      </w:r>
    </w:p>
    <w:p w14:paraId="2A96E127">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国土空间战略</w:t>
      </w:r>
    </w:p>
    <w:p w14:paraId="145E45E4">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底线管控。</w:t>
      </w:r>
      <w:r>
        <w:rPr>
          <w:rFonts w:hint="eastAsia" w:ascii="宋体" w:hAnsi="宋体" w:eastAsia="宋体" w:cs="宋体"/>
          <w:color w:val="000000" w:themeColor="text1"/>
          <w:sz w:val="32"/>
          <w:szCs w:val="32"/>
        </w:rPr>
        <w:t>树立底线思维，坚持耕地保护优先，守住自然生态安全边界，筑牢国土空间安全底线。把耕地和永久基本农田、生态保护红线、城镇开发边界三条控制线作为调整经济结构、规划产业发展、推进城镇化不可逾越的红线。合理保护与利用各类资源要素，推进山水林田湖草一体化保护和系统治理，着力提升生态系统多样性、稳定性和持续性。</w:t>
      </w:r>
    </w:p>
    <w:p w14:paraId="1CCE5F1C">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区域一体。</w:t>
      </w:r>
      <w:r>
        <w:rPr>
          <w:rFonts w:hint="eastAsia" w:ascii="宋体" w:hAnsi="宋体" w:eastAsia="宋体" w:cs="宋体"/>
          <w:color w:val="000000" w:themeColor="text1"/>
          <w:sz w:val="32"/>
          <w:szCs w:val="32"/>
        </w:rPr>
        <w:t>落实长江经济带发展、长三角一体化发展等国家战略，融入长三角世界级城市群，主动参与上海大都市圈建设，与周边城市共建扬子江绿色发展带，协同推进苏锡常都市圈发展。建设锡澄协同发展区、锡宜协同发展区，优化市域空间布局，强化市域一体化发展。</w:t>
      </w:r>
    </w:p>
    <w:p w14:paraId="0C25F499">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科创湖湾。</w:t>
      </w:r>
      <w:r>
        <w:rPr>
          <w:rFonts w:hint="eastAsia" w:ascii="宋体" w:hAnsi="宋体" w:eastAsia="宋体" w:cs="宋体"/>
          <w:color w:val="000000" w:themeColor="text1"/>
          <w:sz w:val="32"/>
          <w:szCs w:val="32"/>
        </w:rPr>
        <w:t>实施创新驱动，构建全域创新空间格局，高水平建设太湖湾科技创新带，依托高校及科研院所等创新策源地，统筹科技创新功能布局，实现创新资源高效配置，支撑科技创新和产业创新。优化先进制造业空间布局，强化产业空间高效集聚，推动建设用地节约集约利用。</w:t>
      </w:r>
    </w:p>
    <w:p w14:paraId="504EC89C">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绿色宜居。</w:t>
      </w:r>
      <w:r>
        <w:rPr>
          <w:rFonts w:hint="eastAsia" w:ascii="宋体" w:hAnsi="宋体" w:eastAsia="宋体" w:cs="宋体"/>
          <w:color w:val="000000" w:themeColor="text1"/>
          <w:sz w:val="32"/>
          <w:szCs w:val="32"/>
        </w:rPr>
        <w:t>优化蓝绿空间网络，完善全域公园体系，打造高品质城绿交融空间。优化山水景观格局，打造风景旅游目的地。实施乡村振兴战略，统筹乡村生产、生活、生态空间，改善乡村人居环境，展现现代化江南美丽乡村。</w:t>
      </w:r>
    </w:p>
    <w:p w14:paraId="4641F15B">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幸福出行。</w:t>
      </w:r>
      <w:r>
        <w:rPr>
          <w:rFonts w:hint="eastAsia" w:ascii="宋体" w:hAnsi="宋体" w:eastAsia="宋体" w:cs="宋体"/>
          <w:color w:val="000000" w:themeColor="text1"/>
          <w:sz w:val="32"/>
          <w:szCs w:val="32"/>
        </w:rPr>
        <w:t>构建互联互通的快速轨道交通网和高速公路网，建设全国性综合交通枢纽城市。完善以轨道交通为骨架、以多层次公路为主体的市域一体化交通网络，建设绿色、高效、多元、可持续的城市综合交通系统，提高出行效率。</w:t>
      </w:r>
    </w:p>
    <w:p w14:paraId="1FA07205">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品质提升。</w:t>
      </w:r>
      <w:r>
        <w:rPr>
          <w:rFonts w:hint="eastAsia" w:ascii="宋体" w:hAnsi="宋体" w:eastAsia="宋体" w:cs="宋体"/>
          <w:color w:val="000000" w:themeColor="text1"/>
          <w:sz w:val="32"/>
          <w:szCs w:val="32"/>
        </w:rPr>
        <w:t>加强历史文化保护传承，推动大运河（无锡段）保护利用，保护历史文化名城。完善公平共享、全龄友好的公共服务设施体系，保障各类公共服务设施用地需求。建设可持续的绿色基础设施，构建高水平的综合防灾减灾救灾体系，推进韧性安全城市建设，提高城市综合承载能力。</w:t>
      </w:r>
    </w:p>
    <w:p w14:paraId="0D8E6BED">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人口规模</w:t>
      </w:r>
    </w:p>
    <w:p w14:paraId="23AF2F7C">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到</w:t>
      </w:r>
      <w:r>
        <w:rPr>
          <w:rFonts w:hint="eastAsia" w:ascii="宋体" w:hAnsi="宋体" w:eastAsia="宋体" w:cs="宋体"/>
          <w:color w:val="000000" w:themeColor="text1"/>
          <w:sz w:val="32"/>
          <w:szCs w:val="32"/>
        </w:rPr>
        <w:t>2035</w:t>
      </w:r>
      <w:r>
        <w:rPr>
          <w:rFonts w:hint="eastAsia" w:ascii="宋体" w:hAnsi="宋体" w:eastAsia="宋体" w:cs="宋体"/>
          <w:color w:val="000000" w:themeColor="text1"/>
          <w:sz w:val="32"/>
          <w:szCs w:val="32"/>
        </w:rPr>
        <w:t>年，预计全市常住人口规模约</w:t>
      </w:r>
      <w:r>
        <w:rPr>
          <w:rFonts w:hint="eastAsia" w:ascii="宋体" w:hAnsi="宋体" w:eastAsia="宋体" w:cs="宋体"/>
          <w:color w:val="000000" w:themeColor="text1"/>
          <w:sz w:val="32"/>
          <w:szCs w:val="32"/>
        </w:rPr>
        <w:t>830</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900</w:t>
      </w:r>
      <w:r>
        <w:rPr>
          <w:rFonts w:hint="eastAsia" w:ascii="宋体" w:hAnsi="宋体" w:eastAsia="宋体" w:cs="宋体"/>
          <w:color w:val="000000" w:themeColor="text1"/>
          <w:sz w:val="32"/>
          <w:szCs w:val="32"/>
        </w:rPr>
        <w:t>万人，其中市辖区常住人口规模约</w:t>
      </w:r>
      <w:r>
        <w:rPr>
          <w:rFonts w:hint="eastAsia" w:ascii="宋体" w:hAnsi="宋体" w:eastAsia="宋体" w:cs="宋体"/>
          <w:color w:val="000000" w:themeColor="text1"/>
          <w:sz w:val="32"/>
          <w:szCs w:val="32"/>
        </w:rPr>
        <w:t>520</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560</w:t>
      </w:r>
      <w:r>
        <w:rPr>
          <w:rFonts w:hint="eastAsia" w:ascii="宋体" w:hAnsi="宋体" w:eastAsia="宋体" w:cs="宋体"/>
          <w:color w:val="000000" w:themeColor="text1"/>
          <w:sz w:val="32"/>
          <w:szCs w:val="32"/>
        </w:rPr>
        <w:t>万人，全市常住人口城镇化率达到</w:t>
      </w:r>
      <w:r>
        <w:rPr>
          <w:rFonts w:hint="eastAsia" w:ascii="宋体" w:hAnsi="宋体" w:eastAsia="宋体" w:cs="宋体"/>
          <w:color w:val="000000" w:themeColor="text1"/>
          <w:sz w:val="32"/>
          <w:szCs w:val="32"/>
        </w:rPr>
        <w:t>86%</w:t>
      </w:r>
      <w:r>
        <w:rPr>
          <w:rFonts w:hint="eastAsia" w:ascii="宋体" w:hAnsi="宋体" w:eastAsia="宋体" w:cs="宋体"/>
          <w:color w:val="000000" w:themeColor="text1"/>
          <w:sz w:val="32"/>
          <w:szCs w:val="32"/>
        </w:rPr>
        <w:t>左右。统筹暂住人口、跨市域通勤人口、短期商务和旅游人口等实际服务人口对城市基础设施和公共服务设施需求，在常住人口基础上预留服务人口弹性。</w:t>
      </w:r>
    </w:p>
    <w:p w14:paraId="48A6848D">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优化人口空间分布，引导人口有序增长。维持梁溪区适宜的人口容量，适度提高江阴市、宜兴市、锡山区、惠山区和滨湖区的居住人口和就业人口密度，加强城市新建地区人口集聚能力。引导城乡双栖人口合理有序流动，形成与城市结构相匹配的人口分布格局。优化人才结构，</w:t>
      </w:r>
      <w:r>
        <w:rPr>
          <w:rFonts w:hint="eastAsia" w:ascii="宋体" w:hAnsi="宋体" w:eastAsia="宋体" w:cs="宋体"/>
          <w:color w:val="000000" w:themeColor="text1"/>
          <w:sz w:val="32"/>
          <w:szCs w:val="32"/>
        </w:rPr>
        <w:t>加大对高层次人才吸引力度。</w:t>
      </w:r>
      <w:bookmarkEnd w:id="21"/>
    </w:p>
    <w:p w14:paraId="61AAF542">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bookmarkStart w:id="22" w:name="_Toc77146214"/>
      <w:r>
        <w:rPr>
          <w:rFonts w:hint="eastAsia" w:ascii="宋体" w:hAnsi="宋体" w:eastAsia="宋体" w:cs="宋体"/>
          <w:color w:val="000000" w:themeColor="text1"/>
          <w:sz w:val="32"/>
        </w:rPr>
        <w:t>指标体系</w:t>
      </w:r>
      <w:bookmarkEnd w:id="22"/>
    </w:p>
    <w:p w14:paraId="7077A8BA">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color w:val="000000" w:themeColor="text1"/>
          <w:sz w:val="32"/>
          <w:szCs w:val="32"/>
        </w:rPr>
        <w:t>围绕空间底线、空间结构与效率、空间品质三个方面，构建无锡市国土空间开发保护利用的规划指标体系。</w:t>
      </w:r>
    </w:p>
    <w:p w14:paraId="4770721D">
      <w:pPr>
        <w:pStyle w:val="2"/>
        <w:numPr>
          <w:ilvl w:val="0"/>
          <w:numId w:val="2"/>
        </w:numPr>
        <w:snapToGrid w:val="0"/>
        <w:spacing w:before="0" w:after="156" w:afterLines="50" w:line="500" w:lineRule="exact"/>
        <w:ind w:left="0" w:firstLine="0"/>
        <w:jc w:val="center"/>
        <w:rPr>
          <w:rFonts w:hint="eastAsia" w:ascii="宋体" w:hAnsi="宋体" w:eastAsia="宋体" w:cs="宋体"/>
          <w:b w:val="0"/>
          <w:color w:val="000000" w:themeColor="text1"/>
          <w:sz w:val="36"/>
          <w:szCs w:val="36"/>
        </w:rPr>
      </w:pPr>
      <w:bookmarkStart w:id="23" w:name="_Toc185189007"/>
      <w:bookmarkStart w:id="24" w:name="_Toc25065"/>
      <w:bookmarkStart w:id="25" w:name="_Toc176945795"/>
      <w:bookmarkStart w:id="26" w:name="_Toc161582227"/>
      <w:bookmarkStart w:id="27" w:name="_Toc77147166"/>
      <w:bookmarkStart w:id="28" w:name="_Toc75274874"/>
      <w:bookmarkStart w:id="29" w:name="_Toc77146215"/>
      <w:bookmarkStart w:id="30" w:name="_Toc156410559"/>
      <w:bookmarkStart w:id="31" w:name="_Toc77778867"/>
      <w:bookmarkStart w:id="32" w:name="_Toc74904811"/>
      <w:bookmarkStart w:id="33" w:name="_Toc139397146"/>
      <w:bookmarkStart w:id="34" w:name="_Toc77854454"/>
      <w:r>
        <w:rPr>
          <w:rFonts w:hint="eastAsia" w:ascii="宋体" w:hAnsi="宋体" w:eastAsia="宋体" w:cs="宋体"/>
          <w:b w:val="0"/>
          <w:color w:val="000000" w:themeColor="text1"/>
          <w:sz w:val="36"/>
          <w:szCs w:val="36"/>
        </w:rPr>
        <w:t>国土空间总体格局</w:t>
      </w:r>
      <w:bookmarkEnd w:id="23"/>
      <w:bookmarkEnd w:id="24"/>
      <w:bookmarkEnd w:id="25"/>
      <w:bookmarkEnd w:id="26"/>
    </w:p>
    <w:p w14:paraId="3CD3EB84">
      <w:pPr>
        <w:pStyle w:val="3"/>
        <w:numPr>
          <w:ilvl w:val="0"/>
          <w:numId w:val="3"/>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35" w:name="_Toc174374946"/>
      <w:bookmarkEnd w:id="35"/>
      <w:bookmarkStart w:id="36" w:name="_Toc174375103"/>
      <w:bookmarkEnd w:id="36"/>
      <w:bookmarkStart w:id="37" w:name="_Toc176945796"/>
      <w:bookmarkStart w:id="38" w:name="_Toc25093"/>
      <w:bookmarkStart w:id="39" w:name="_Toc161582228"/>
      <w:bookmarkStart w:id="40" w:name="_Toc185189008"/>
      <w:r>
        <w:rPr>
          <w:rFonts w:hint="eastAsia" w:ascii="宋体" w:hAnsi="宋体" w:eastAsia="宋体" w:cs="宋体"/>
          <w:b w:val="0"/>
          <w:bCs w:val="0"/>
          <w:color w:val="000000" w:themeColor="text1"/>
        </w:rPr>
        <w:t>三条控制线划定与管控</w:t>
      </w:r>
      <w:bookmarkEnd w:id="37"/>
      <w:bookmarkEnd w:id="38"/>
      <w:bookmarkEnd w:id="39"/>
      <w:bookmarkEnd w:id="40"/>
    </w:p>
    <w:p w14:paraId="62269652">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耕地和永久基本农田保护红线</w:t>
      </w:r>
    </w:p>
    <w:p w14:paraId="29D2C054">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严守耕地和永久基本农田保护红线，持续优化耕地布局，将可以长期稳定利用耕地优先划入永久基本农田实行特殊保护，全方位夯实粮食安全根基。落实上级下达的耕地保护任务，</w:t>
      </w:r>
      <w:r>
        <w:rPr>
          <w:rFonts w:hint="eastAsia" w:ascii="宋体" w:hAnsi="宋体" w:eastAsia="宋体" w:cs="宋体"/>
          <w:color w:val="000000" w:themeColor="text1"/>
          <w:sz w:val="32"/>
          <w:szCs w:val="32"/>
          <w:u w:val="none"/>
        </w:rPr>
        <w:t>全市耕地保有量不低于</w:t>
      </w:r>
      <w:r>
        <w:rPr>
          <w:rFonts w:hint="eastAsia" w:ascii="宋体" w:hAnsi="宋体" w:eastAsia="宋体" w:cs="宋体"/>
          <w:color w:val="000000" w:themeColor="text1"/>
          <w:sz w:val="32"/>
          <w:szCs w:val="32"/>
          <w:u w:val="none"/>
        </w:rPr>
        <w:t>779</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67</w:t>
      </w:r>
      <w:r>
        <w:rPr>
          <w:rFonts w:hint="eastAsia" w:ascii="宋体" w:hAnsi="宋体" w:eastAsia="宋体" w:cs="宋体"/>
          <w:color w:val="000000" w:themeColor="text1"/>
          <w:sz w:val="32"/>
          <w:szCs w:val="32"/>
          <w:u w:val="none"/>
        </w:rPr>
        <w:t>平方千米（</w:t>
      </w:r>
      <w:r>
        <w:rPr>
          <w:rFonts w:hint="eastAsia" w:ascii="宋体" w:hAnsi="宋体" w:eastAsia="宋体" w:cs="宋体"/>
          <w:color w:val="000000" w:themeColor="text1"/>
          <w:sz w:val="32"/>
          <w:szCs w:val="32"/>
          <w:u w:val="none"/>
        </w:rPr>
        <w:t>116</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95</w:t>
      </w:r>
      <w:r>
        <w:rPr>
          <w:rFonts w:hint="eastAsia" w:ascii="宋体" w:hAnsi="宋体" w:eastAsia="宋体" w:cs="宋体"/>
          <w:color w:val="000000" w:themeColor="text1"/>
          <w:sz w:val="32"/>
          <w:szCs w:val="32"/>
          <w:u w:val="none"/>
        </w:rPr>
        <w:t>万亩），</w:t>
      </w:r>
      <w:r>
        <w:rPr>
          <w:rFonts w:hint="eastAsia" w:ascii="宋体" w:hAnsi="宋体" w:eastAsia="宋体" w:cs="宋体"/>
          <w:color w:val="000000" w:themeColor="text1"/>
          <w:sz w:val="32"/>
          <w:szCs w:val="32"/>
        </w:rPr>
        <w:t>全市划定耕地保护面积</w:t>
      </w:r>
      <w:r>
        <w:rPr>
          <w:rFonts w:hint="eastAsia" w:ascii="宋体" w:hAnsi="宋体" w:eastAsia="宋体" w:cs="宋体"/>
          <w:color w:val="000000" w:themeColor="text1"/>
          <w:sz w:val="32"/>
          <w:szCs w:val="32"/>
        </w:rPr>
        <w:t>779</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71</w:t>
      </w:r>
      <w:r>
        <w:rPr>
          <w:rFonts w:hint="eastAsia" w:ascii="宋体" w:hAnsi="宋体" w:eastAsia="宋体" w:cs="宋体"/>
          <w:color w:val="000000" w:themeColor="text1"/>
          <w:sz w:val="32"/>
          <w:szCs w:val="32"/>
        </w:rPr>
        <w:t>平方千米（</w:t>
      </w:r>
      <w:r>
        <w:rPr>
          <w:rFonts w:hint="eastAsia" w:ascii="宋体" w:hAnsi="宋体" w:eastAsia="宋体" w:cs="宋体"/>
          <w:color w:val="000000" w:themeColor="text1"/>
          <w:sz w:val="32"/>
          <w:szCs w:val="32"/>
        </w:rPr>
        <w:t>116</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96</w:t>
      </w:r>
      <w:r>
        <w:rPr>
          <w:rFonts w:hint="eastAsia" w:ascii="宋体" w:hAnsi="宋体" w:eastAsia="宋体" w:cs="宋体"/>
          <w:color w:val="000000" w:themeColor="text1"/>
          <w:sz w:val="32"/>
          <w:szCs w:val="32"/>
        </w:rPr>
        <w:t>万亩）。落实上级下达的永久基本农田保护任务，</w:t>
      </w:r>
      <w:r>
        <w:rPr>
          <w:rFonts w:hint="eastAsia" w:ascii="宋体" w:hAnsi="宋体" w:eastAsia="宋体" w:cs="宋体"/>
          <w:color w:val="000000" w:themeColor="text1"/>
          <w:sz w:val="32"/>
          <w:szCs w:val="32"/>
          <w:u w:val="none"/>
        </w:rPr>
        <w:t>永久基本农田保护任务不低于</w:t>
      </w:r>
      <w:r>
        <w:rPr>
          <w:rFonts w:hint="eastAsia" w:ascii="宋体" w:hAnsi="宋体" w:eastAsia="宋体" w:cs="宋体"/>
          <w:color w:val="000000" w:themeColor="text1"/>
          <w:sz w:val="32"/>
          <w:szCs w:val="32"/>
          <w:u w:val="none"/>
        </w:rPr>
        <w:t>699</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26</w:t>
      </w:r>
      <w:r>
        <w:rPr>
          <w:rFonts w:hint="eastAsia" w:ascii="宋体" w:hAnsi="宋体" w:eastAsia="宋体" w:cs="宋体"/>
          <w:color w:val="000000" w:themeColor="text1"/>
          <w:sz w:val="32"/>
          <w:szCs w:val="32"/>
          <w:u w:val="none"/>
        </w:rPr>
        <w:t>平方千米（</w:t>
      </w:r>
      <w:r>
        <w:rPr>
          <w:rFonts w:hint="eastAsia" w:ascii="宋体" w:hAnsi="宋体" w:eastAsia="宋体" w:cs="宋体"/>
          <w:color w:val="000000" w:themeColor="text1"/>
          <w:sz w:val="32"/>
          <w:szCs w:val="32"/>
          <w:u w:val="none"/>
        </w:rPr>
        <w:t>104</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89</w:t>
      </w:r>
      <w:r>
        <w:rPr>
          <w:rFonts w:hint="eastAsia" w:ascii="宋体" w:hAnsi="宋体" w:eastAsia="宋体" w:cs="宋体"/>
          <w:color w:val="000000" w:themeColor="text1"/>
          <w:sz w:val="32"/>
          <w:szCs w:val="32"/>
          <w:u w:val="none"/>
        </w:rPr>
        <w:t>万亩），</w:t>
      </w:r>
      <w:r>
        <w:rPr>
          <w:rFonts w:hint="eastAsia" w:ascii="宋体" w:hAnsi="宋体" w:eastAsia="宋体" w:cs="宋体"/>
          <w:color w:val="000000" w:themeColor="text1"/>
          <w:sz w:val="32"/>
          <w:szCs w:val="32"/>
        </w:rPr>
        <w:t>全市划定永久基本农田保护面积</w:t>
      </w:r>
      <w:r>
        <w:rPr>
          <w:rFonts w:hint="eastAsia" w:ascii="宋体" w:hAnsi="宋体" w:eastAsia="宋体" w:cs="宋体"/>
          <w:color w:val="000000" w:themeColor="text1"/>
          <w:sz w:val="32"/>
          <w:szCs w:val="32"/>
        </w:rPr>
        <w:t>680</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19</w:t>
      </w:r>
      <w:r>
        <w:rPr>
          <w:rFonts w:hint="eastAsia" w:ascii="宋体" w:hAnsi="宋体" w:eastAsia="宋体" w:cs="宋体"/>
          <w:color w:val="000000" w:themeColor="text1"/>
          <w:sz w:val="32"/>
          <w:szCs w:val="32"/>
        </w:rPr>
        <w:t>平方千米（</w:t>
      </w:r>
      <w:r>
        <w:rPr>
          <w:rFonts w:hint="eastAsia" w:ascii="宋体" w:hAnsi="宋体" w:eastAsia="宋体" w:cs="宋体"/>
          <w:color w:val="000000" w:themeColor="text1"/>
          <w:sz w:val="32"/>
          <w:szCs w:val="32"/>
        </w:rPr>
        <w:t>102</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03</w:t>
      </w:r>
      <w:r>
        <w:rPr>
          <w:rFonts w:hint="eastAsia" w:ascii="宋体" w:hAnsi="宋体" w:eastAsia="宋体" w:cs="宋体"/>
          <w:color w:val="000000" w:themeColor="text1"/>
          <w:sz w:val="32"/>
          <w:szCs w:val="32"/>
        </w:rPr>
        <w:t>万亩），通过易地代保方式落实永久基本农田保护任务</w:t>
      </w:r>
      <w:r>
        <w:rPr>
          <w:rFonts w:hint="eastAsia" w:ascii="宋体" w:hAnsi="宋体" w:eastAsia="宋体" w:cs="宋体"/>
          <w:color w:val="000000" w:themeColor="text1"/>
          <w:sz w:val="32"/>
          <w:szCs w:val="32"/>
        </w:rPr>
        <w:t>19</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07</w:t>
      </w:r>
      <w:r>
        <w:rPr>
          <w:rFonts w:hint="eastAsia" w:ascii="宋体" w:hAnsi="宋体" w:eastAsia="宋体" w:cs="宋体"/>
          <w:color w:val="000000" w:themeColor="text1"/>
          <w:sz w:val="32"/>
          <w:szCs w:val="32"/>
        </w:rPr>
        <w:t>平方千米（</w:t>
      </w:r>
      <w:r>
        <w:rPr>
          <w:rFonts w:hint="eastAsia" w:ascii="宋体" w:hAnsi="宋体" w:eastAsia="宋体" w:cs="宋体"/>
          <w:color w:val="000000" w:themeColor="text1"/>
          <w:sz w:val="32"/>
          <w:szCs w:val="32"/>
        </w:rPr>
        <w:t>2</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86</w:t>
      </w:r>
      <w:r>
        <w:rPr>
          <w:rFonts w:hint="eastAsia" w:ascii="宋体" w:hAnsi="宋体" w:eastAsia="宋体" w:cs="宋体"/>
          <w:color w:val="000000" w:themeColor="text1"/>
          <w:sz w:val="32"/>
          <w:szCs w:val="32"/>
        </w:rPr>
        <w:t>万亩）。耕地和永久基本农田主要分布在江阴市、宜兴市、锡山区和惠山区等地区。</w:t>
      </w:r>
    </w:p>
    <w:tbl>
      <w:tblPr>
        <w:tblStyle w:val="3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C64C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000" w:type="pct"/>
          </w:tcPr>
          <w:p w14:paraId="728CBFA0">
            <w:pPr>
              <w:spacing w:line="400" w:lineRule="exact"/>
              <w:jc w:val="center"/>
              <w:rPr>
                <w:rFonts w:hint="eastAsia" w:ascii="宋体" w:hAnsi="宋体" w:eastAsia="宋体" w:cs="宋体"/>
                <w:color w:val="000000" w:themeColor="text1"/>
                <w:kern w:val="0"/>
                <w:sz w:val="30"/>
                <w:szCs w:val="30"/>
              </w:rPr>
            </w:pPr>
            <w:r>
              <w:rPr>
                <w:rFonts w:hint="eastAsia" w:ascii="宋体" w:hAnsi="宋体" w:eastAsia="宋体" w:cs="宋体"/>
                <w:color w:val="000000" w:themeColor="text1"/>
                <w:kern w:val="0"/>
                <w:sz w:val="30"/>
                <w:szCs w:val="30"/>
              </w:rPr>
              <w:t>专栏</w:t>
            </w:r>
            <w:r>
              <w:rPr>
                <w:rFonts w:hint="eastAsia" w:ascii="宋体" w:hAnsi="宋体" w:eastAsia="宋体" w:cs="宋体"/>
                <w:color w:val="000000" w:themeColor="text1"/>
                <w:kern w:val="0"/>
                <w:sz w:val="30"/>
                <w:szCs w:val="30"/>
              </w:rPr>
              <w:t>4</w:t>
            </w:r>
            <w:r>
              <w:rPr>
                <w:rFonts w:hint="eastAsia" w:ascii="宋体" w:hAnsi="宋体" w:eastAsia="宋体" w:cs="宋体"/>
                <w:color w:val="000000" w:themeColor="text1"/>
                <w:kern w:val="0"/>
                <w:sz w:val="30"/>
                <w:szCs w:val="30"/>
              </w:rPr>
              <w:t>-</w:t>
            </w:r>
            <w:r>
              <w:rPr>
                <w:rFonts w:hint="eastAsia" w:ascii="宋体" w:hAnsi="宋体" w:eastAsia="宋体" w:cs="宋体"/>
                <w:color w:val="000000" w:themeColor="text1"/>
                <w:kern w:val="0"/>
                <w:sz w:val="30"/>
                <w:szCs w:val="30"/>
              </w:rPr>
              <w:t>1</w:t>
            </w:r>
            <w:r>
              <w:rPr>
                <w:rFonts w:hint="eastAsia" w:ascii="宋体" w:hAnsi="宋体" w:eastAsia="宋体" w:cs="宋体"/>
                <w:color w:val="000000" w:themeColor="text1"/>
                <w:kern w:val="0"/>
                <w:sz w:val="30"/>
                <w:szCs w:val="30"/>
              </w:rPr>
              <w:tab/>
            </w:r>
            <w:r>
              <w:rPr>
                <w:rFonts w:hint="eastAsia" w:ascii="宋体" w:hAnsi="宋体" w:eastAsia="宋体" w:cs="宋体"/>
                <w:color w:val="000000" w:themeColor="text1"/>
                <w:kern w:val="0"/>
                <w:sz w:val="30"/>
                <w:szCs w:val="30"/>
              </w:rPr>
              <w:t>耕地和永久基本农田管控基本要求</w:t>
            </w:r>
          </w:p>
        </w:tc>
      </w:tr>
      <w:tr w14:paraId="7B239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14:paraId="4E6DC7D5">
            <w:pPr>
              <w:spacing w:line="400" w:lineRule="exact"/>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 xml:space="preserve">    </w:t>
            </w:r>
            <w:r>
              <w:rPr>
                <w:rFonts w:hint="eastAsia" w:ascii="宋体" w:hAnsi="宋体" w:eastAsia="宋体" w:cs="宋体"/>
                <w:color w:val="000000" w:themeColor="text1"/>
                <w:kern w:val="0"/>
                <w:sz w:val="24"/>
                <w:szCs w:val="24"/>
              </w:rPr>
              <w:t>严守永久基本农田保护红线，严格规范农业生产活动。严格落实永久基本农田的管控要求，永久基本农田重点用于发展粮食生产，特别是保障水稻、小麦种植面积，不得转为林地、草地、园地等其他农用地及农业设施建设用地。完善永久基本农田保护措施，提高监管水平，构建保护有力、集约高效、监管严格的永久基本农田特殊保护新格局。</w:t>
            </w:r>
          </w:p>
          <w:p w14:paraId="23799342">
            <w:pPr>
              <w:spacing w:line="400" w:lineRule="exact"/>
              <w:ind w:firstLine="480" w:firstLineChars="200"/>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严控建设占用永久基本农田，确保数量不减少。强化永久基本农田对各类建设布局的约束，已经划定的永久基本农田不得随意占用和调整。重大建设项目选址确定难以避让永久基本农田的，必须按相关法律法规和政策文件要求办理。</w:t>
            </w:r>
          </w:p>
        </w:tc>
      </w:tr>
    </w:tbl>
    <w:p w14:paraId="3F148F82">
      <w:pPr>
        <w:pStyle w:val="35"/>
        <w:spacing w:before="156" w:beforeAutospacing="0" w:after="156" w:afterAutospacing="0" w:line="300" w:lineRule="exact"/>
        <w:jc w:val="both"/>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注：上述规则随相关法律法规及政策规定调整更新。</w:t>
      </w:r>
    </w:p>
    <w:p w14:paraId="5EC1118E">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生态保护红线</w:t>
      </w:r>
    </w:p>
    <w:p w14:paraId="5773285E">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将整合优化后的自然保护地、生态功能极重要区域以及具有潜在重要生态价值的生态空间划入生态保护红线。</w:t>
      </w:r>
      <w:r>
        <w:rPr>
          <w:rFonts w:hint="eastAsia" w:ascii="宋体" w:hAnsi="宋体" w:eastAsia="宋体" w:cs="宋体"/>
          <w:color w:val="000000" w:themeColor="text1"/>
          <w:sz w:val="32"/>
          <w:szCs w:val="32"/>
          <w:u w:val="none"/>
        </w:rPr>
        <w:t>全市划定生态保护红线面积</w:t>
      </w:r>
      <w:r>
        <w:rPr>
          <w:rFonts w:hint="eastAsia" w:ascii="宋体" w:hAnsi="宋体" w:eastAsia="宋体" w:cs="宋体"/>
          <w:color w:val="000000" w:themeColor="text1"/>
          <w:sz w:val="32"/>
          <w:szCs w:val="32"/>
          <w:u w:val="none"/>
        </w:rPr>
        <w:t>840</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28</w:t>
      </w:r>
      <w:r>
        <w:rPr>
          <w:rFonts w:hint="eastAsia" w:ascii="宋体" w:hAnsi="宋体" w:eastAsia="宋体" w:cs="宋体"/>
          <w:color w:val="000000" w:themeColor="text1"/>
          <w:sz w:val="32"/>
          <w:szCs w:val="32"/>
          <w:u w:val="none"/>
        </w:rPr>
        <w:t>平方千米，</w:t>
      </w:r>
      <w:r>
        <w:rPr>
          <w:rFonts w:hint="eastAsia" w:ascii="宋体" w:hAnsi="宋体" w:eastAsia="宋体" w:cs="宋体"/>
          <w:color w:val="000000" w:themeColor="text1"/>
          <w:sz w:val="32"/>
          <w:szCs w:val="32"/>
        </w:rPr>
        <w:t>涉及自然保护地、饮用水水源保护区、水产种质资源保护区以及其他具有潜在重要生态价值的区域等，主要分布于太湖、</w:t>
      </w:r>
      <w:r>
        <w:rPr>
          <w:rFonts w:hint="eastAsia" w:ascii="宋体" w:hAnsi="宋体" w:eastAsia="宋体" w:cs="宋体"/>
          <w:color w:val="000000" w:themeColor="text1"/>
          <w:sz w:val="32"/>
          <w:szCs w:val="32"/>
        </w:rPr>
        <w:t>滆</w:t>
      </w:r>
      <w:r>
        <w:rPr>
          <w:rFonts w:hint="eastAsia" w:ascii="宋体" w:hAnsi="宋体" w:eastAsia="宋体" w:cs="宋体"/>
          <w:color w:val="000000" w:themeColor="text1"/>
          <w:sz w:val="32"/>
          <w:szCs w:val="32"/>
        </w:rPr>
        <w:t>湖、长江、宜兴市南部山区等地区。</w:t>
      </w:r>
    </w:p>
    <w:tbl>
      <w:tblPr>
        <w:tblStyle w:val="3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655F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000" w:type="pct"/>
          </w:tcPr>
          <w:p w14:paraId="64D8D295">
            <w:pPr>
              <w:spacing w:line="400" w:lineRule="exact"/>
              <w:jc w:val="center"/>
              <w:rPr>
                <w:rFonts w:hint="eastAsia" w:ascii="宋体" w:hAnsi="宋体" w:eastAsia="宋体" w:cs="宋体"/>
                <w:color w:val="000000" w:themeColor="text1"/>
                <w:kern w:val="0"/>
                <w:sz w:val="30"/>
                <w:szCs w:val="30"/>
              </w:rPr>
            </w:pPr>
            <w:r>
              <w:rPr>
                <w:rFonts w:hint="eastAsia" w:ascii="宋体" w:hAnsi="宋体" w:eastAsia="宋体" w:cs="宋体"/>
                <w:color w:val="000000" w:themeColor="text1"/>
                <w:kern w:val="0"/>
                <w:sz w:val="30"/>
                <w:szCs w:val="30"/>
              </w:rPr>
              <w:t>专栏</w:t>
            </w:r>
            <w:r>
              <w:rPr>
                <w:rFonts w:hint="eastAsia" w:ascii="宋体" w:hAnsi="宋体" w:eastAsia="宋体" w:cs="宋体"/>
                <w:color w:val="000000" w:themeColor="text1"/>
                <w:kern w:val="0"/>
                <w:sz w:val="30"/>
                <w:szCs w:val="30"/>
              </w:rPr>
              <w:t>4</w:t>
            </w:r>
            <w:r>
              <w:rPr>
                <w:rFonts w:hint="eastAsia" w:ascii="宋体" w:hAnsi="宋体" w:eastAsia="宋体" w:cs="宋体"/>
                <w:color w:val="000000" w:themeColor="text1"/>
                <w:kern w:val="0"/>
                <w:sz w:val="30"/>
                <w:szCs w:val="30"/>
              </w:rPr>
              <w:t>-</w:t>
            </w:r>
            <w:r>
              <w:rPr>
                <w:rFonts w:hint="eastAsia" w:ascii="宋体" w:hAnsi="宋体" w:eastAsia="宋体" w:cs="宋体"/>
                <w:color w:val="000000" w:themeColor="text1"/>
                <w:kern w:val="0"/>
                <w:sz w:val="30"/>
                <w:szCs w:val="30"/>
              </w:rPr>
              <w:t>2</w:t>
            </w:r>
            <w:r>
              <w:rPr>
                <w:rFonts w:hint="eastAsia" w:ascii="宋体" w:hAnsi="宋体" w:eastAsia="宋体" w:cs="宋体"/>
                <w:color w:val="000000" w:themeColor="text1"/>
                <w:kern w:val="0"/>
                <w:sz w:val="30"/>
                <w:szCs w:val="30"/>
              </w:rPr>
              <w:t>生态保护红线管控基本要求</w:t>
            </w:r>
          </w:p>
        </w:tc>
      </w:tr>
      <w:tr w14:paraId="12BC2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14:paraId="23DFF743">
            <w:pPr>
              <w:spacing w:line="400" w:lineRule="exact"/>
              <w:ind w:firstLine="480" w:firstLineChars="200"/>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生态保护红线内，自然保护地核心保护区原则上禁止人为活动。自然保护地核心保护区外，严格禁止开发性、生产性建设活动，在符合法律法规前提下，仅允许对生态功能不造成破坏的有限人为活动。</w:t>
            </w:r>
          </w:p>
          <w:p w14:paraId="4B23AABF">
            <w:pPr>
              <w:pStyle w:val="35"/>
              <w:spacing w:before="0" w:beforeAutospacing="0" w:after="0" w:afterAutospacing="0" w:line="400" w:lineRule="exact"/>
              <w:ind w:firstLine="480" w:firstLineChars="200"/>
              <w:jc w:val="both"/>
              <w:rPr>
                <w:rFonts w:hint="eastAsia" w:ascii="宋体" w:hAnsi="宋体" w:eastAsia="宋体" w:cs="宋体"/>
                <w:color w:val="000000" w:themeColor="text1"/>
              </w:rPr>
            </w:pPr>
            <w:r>
              <w:rPr>
                <w:rFonts w:hint="eastAsia" w:ascii="宋体" w:hAnsi="宋体" w:eastAsia="宋体" w:cs="宋体"/>
                <w:color w:val="000000" w:themeColor="text1"/>
              </w:rPr>
              <w:t>（</w:t>
            </w:r>
            <w:r>
              <w:rPr>
                <w:rFonts w:hint="eastAsia" w:ascii="宋体" w:hAnsi="宋体" w:eastAsia="宋体" w:cs="宋体"/>
                <w:color w:val="000000" w:themeColor="text1"/>
              </w:rPr>
              <w:t>1</w:t>
            </w:r>
            <w:r>
              <w:rPr>
                <w:rFonts w:hint="eastAsia" w:ascii="宋体" w:hAnsi="宋体" w:eastAsia="宋体" w:cs="宋体"/>
                <w:color w:val="000000" w:themeColor="text1"/>
              </w:rPr>
              <w:t>）管护巡护、保护执法、科学研究、调查监测、测绘导航、防灾减灾救灾、军事国防、疫情防控等活动及相关的必要设施修筑。</w:t>
            </w:r>
          </w:p>
          <w:p w14:paraId="16A00F5D">
            <w:pPr>
              <w:pStyle w:val="35"/>
              <w:spacing w:before="0" w:beforeAutospacing="0" w:after="0" w:afterAutospacing="0" w:line="400" w:lineRule="exact"/>
              <w:ind w:firstLine="480" w:firstLineChars="200"/>
              <w:jc w:val="both"/>
              <w:rPr>
                <w:rFonts w:hint="eastAsia" w:ascii="宋体" w:hAnsi="宋体" w:eastAsia="宋体" w:cs="宋体"/>
                <w:color w:val="000000" w:themeColor="text1"/>
              </w:rPr>
            </w:pPr>
            <w:r>
              <w:rPr>
                <w:rFonts w:hint="eastAsia" w:ascii="宋体" w:hAnsi="宋体" w:eastAsia="宋体" w:cs="宋体"/>
                <w:color w:val="000000" w:themeColor="text1"/>
              </w:rPr>
              <w:t>（</w:t>
            </w:r>
            <w:r>
              <w:rPr>
                <w:rFonts w:hint="eastAsia" w:ascii="宋体" w:hAnsi="宋体" w:eastAsia="宋体" w:cs="宋体"/>
                <w:color w:val="000000" w:themeColor="text1"/>
              </w:rPr>
              <w:t>2</w:t>
            </w:r>
            <w:r>
              <w:rPr>
                <w:rFonts w:hint="eastAsia" w:ascii="宋体" w:hAnsi="宋体" w:eastAsia="宋体" w:cs="宋体"/>
                <w:color w:val="000000" w:themeColor="text1"/>
              </w:rPr>
              <w:t>）原住居民和其他合法权益主体，允许在不扩大现有建设用地用海、耕地、水产养殖规模和放牧强度（符合草畜平衡管理规定）的前提下，开展种植、放牧、捕捞、养殖（不包括投礁型海洋牧场、围海养殖）等活动，修缮生产生活设施。</w:t>
            </w:r>
          </w:p>
          <w:p w14:paraId="2A452761">
            <w:pPr>
              <w:pStyle w:val="35"/>
              <w:spacing w:before="0" w:beforeAutospacing="0" w:after="0" w:afterAutospacing="0" w:line="400" w:lineRule="exact"/>
              <w:ind w:firstLine="480" w:firstLineChars="200"/>
              <w:jc w:val="both"/>
              <w:rPr>
                <w:rFonts w:hint="eastAsia" w:ascii="宋体" w:hAnsi="宋体" w:eastAsia="宋体" w:cs="宋体"/>
                <w:color w:val="000000" w:themeColor="text1"/>
              </w:rPr>
            </w:pPr>
            <w:r>
              <w:rPr>
                <w:rFonts w:hint="eastAsia" w:ascii="宋体" w:hAnsi="宋体" w:eastAsia="宋体" w:cs="宋体"/>
                <w:color w:val="000000" w:themeColor="text1"/>
              </w:rPr>
              <w:t>（</w:t>
            </w:r>
            <w:r>
              <w:rPr>
                <w:rFonts w:hint="eastAsia" w:ascii="宋体" w:hAnsi="宋体" w:eastAsia="宋体" w:cs="宋体"/>
                <w:color w:val="000000" w:themeColor="text1"/>
              </w:rPr>
              <w:t>3</w:t>
            </w:r>
            <w:r>
              <w:rPr>
                <w:rFonts w:hint="eastAsia" w:ascii="宋体" w:hAnsi="宋体" w:eastAsia="宋体" w:cs="宋体"/>
                <w:color w:val="000000" w:themeColor="text1"/>
              </w:rPr>
              <w:t>）经依法批准的考古调查发掘、古生物化石调查发掘、标本采集和文物保护活动。</w:t>
            </w:r>
          </w:p>
          <w:p w14:paraId="0F443373">
            <w:pPr>
              <w:pStyle w:val="35"/>
              <w:spacing w:before="0" w:beforeAutospacing="0" w:after="0" w:afterAutospacing="0" w:line="400" w:lineRule="exact"/>
              <w:ind w:firstLine="480" w:firstLineChars="200"/>
              <w:jc w:val="both"/>
              <w:rPr>
                <w:rFonts w:hint="eastAsia" w:ascii="宋体" w:hAnsi="宋体" w:eastAsia="宋体" w:cs="宋体"/>
                <w:color w:val="000000" w:themeColor="text1"/>
              </w:rPr>
            </w:pPr>
            <w:r>
              <w:rPr>
                <w:rFonts w:hint="eastAsia" w:ascii="宋体" w:hAnsi="宋体" w:eastAsia="宋体" w:cs="宋体"/>
                <w:color w:val="000000" w:themeColor="text1"/>
              </w:rPr>
              <w:t>（</w:t>
            </w:r>
            <w:r>
              <w:rPr>
                <w:rFonts w:hint="eastAsia" w:ascii="宋体" w:hAnsi="宋体" w:eastAsia="宋体" w:cs="宋体"/>
                <w:color w:val="000000" w:themeColor="text1"/>
              </w:rPr>
              <w:t>4</w:t>
            </w:r>
            <w:r>
              <w:rPr>
                <w:rFonts w:hint="eastAsia" w:ascii="宋体" w:hAnsi="宋体" w:eastAsia="宋体" w:cs="宋体"/>
                <w:color w:val="000000" w:themeColor="text1"/>
              </w:rPr>
              <w:t>）按规定对人工商品林进行抚育采伐，或以提升森林质量、优化栖息地、建设生物防火隔离带等为目的的树种更新，依法开展的竹林采伐经营。</w:t>
            </w:r>
          </w:p>
          <w:p w14:paraId="37B64B15">
            <w:pPr>
              <w:pStyle w:val="35"/>
              <w:spacing w:before="0" w:beforeAutospacing="0" w:after="0" w:afterAutospacing="0" w:line="400" w:lineRule="exact"/>
              <w:ind w:firstLine="480" w:firstLineChars="200"/>
              <w:jc w:val="both"/>
              <w:rPr>
                <w:rFonts w:hint="eastAsia" w:ascii="宋体" w:hAnsi="宋体" w:eastAsia="宋体" w:cs="宋体"/>
                <w:color w:val="000000" w:themeColor="text1"/>
              </w:rPr>
            </w:pPr>
            <w:r>
              <w:rPr>
                <w:rFonts w:hint="eastAsia" w:ascii="宋体" w:hAnsi="宋体" w:eastAsia="宋体" w:cs="宋体"/>
                <w:color w:val="000000" w:themeColor="text1"/>
              </w:rPr>
              <w:t>（</w:t>
            </w:r>
            <w:r>
              <w:rPr>
                <w:rFonts w:hint="eastAsia" w:ascii="宋体" w:hAnsi="宋体" w:eastAsia="宋体" w:cs="宋体"/>
                <w:color w:val="000000" w:themeColor="text1"/>
              </w:rPr>
              <w:t>5</w:t>
            </w:r>
            <w:r>
              <w:rPr>
                <w:rFonts w:hint="eastAsia" w:ascii="宋体" w:hAnsi="宋体" w:eastAsia="宋体" w:cs="宋体"/>
                <w:color w:val="000000" w:themeColor="text1"/>
              </w:rPr>
              <w:t>）不破坏生态功能的适度参观旅游、科普宣教及符合相关规划的配套性服务设施和相关的必要公共设施建设及维护。</w:t>
            </w:r>
          </w:p>
          <w:p w14:paraId="2CA59D84">
            <w:pPr>
              <w:pStyle w:val="35"/>
              <w:spacing w:before="0" w:beforeAutospacing="0" w:after="0" w:afterAutospacing="0" w:line="400" w:lineRule="exact"/>
              <w:ind w:firstLine="480" w:firstLineChars="200"/>
              <w:jc w:val="both"/>
              <w:rPr>
                <w:rFonts w:hint="eastAsia" w:ascii="宋体" w:hAnsi="宋体" w:eastAsia="宋体" w:cs="宋体"/>
                <w:color w:val="000000" w:themeColor="text1"/>
              </w:rPr>
            </w:pPr>
            <w:r>
              <w:rPr>
                <w:rFonts w:hint="eastAsia" w:ascii="宋体" w:hAnsi="宋体" w:eastAsia="宋体" w:cs="宋体"/>
                <w:color w:val="000000" w:themeColor="text1"/>
              </w:rPr>
              <w:t>（</w:t>
            </w:r>
            <w:r>
              <w:rPr>
                <w:rFonts w:hint="eastAsia" w:ascii="宋体" w:hAnsi="宋体" w:eastAsia="宋体" w:cs="宋体"/>
                <w:color w:val="000000" w:themeColor="text1"/>
              </w:rPr>
              <w:t>6</w:t>
            </w:r>
            <w:r>
              <w:rPr>
                <w:rFonts w:hint="eastAsia" w:ascii="宋体" w:hAnsi="宋体" w:eastAsia="宋体" w:cs="宋体"/>
                <w:color w:val="000000" w:themeColor="text1"/>
              </w:rPr>
              <w:t>）必须且无法避让、符合县级以上国土空间规划的线性基础设施、通讯和防洪、供水设施建设和船舶航行、航道疏浚清淤等活动；已有的合法水利、交通运输等设施运行维护改造。</w:t>
            </w:r>
          </w:p>
          <w:p w14:paraId="2A666F07">
            <w:pPr>
              <w:pStyle w:val="35"/>
              <w:spacing w:before="0" w:beforeAutospacing="0" w:after="0" w:afterAutospacing="0" w:line="400" w:lineRule="exact"/>
              <w:ind w:firstLine="480" w:firstLineChars="200"/>
              <w:jc w:val="both"/>
              <w:rPr>
                <w:rFonts w:hint="eastAsia" w:ascii="宋体" w:hAnsi="宋体" w:eastAsia="宋体" w:cs="宋体"/>
                <w:color w:val="000000" w:themeColor="text1"/>
              </w:rPr>
            </w:pPr>
            <w:r>
              <w:rPr>
                <w:rFonts w:hint="eastAsia" w:ascii="宋体" w:hAnsi="宋体" w:eastAsia="宋体" w:cs="宋体"/>
                <w:color w:val="000000" w:themeColor="text1"/>
              </w:rPr>
              <w:t>（</w:t>
            </w:r>
            <w:r>
              <w:rPr>
                <w:rFonts w:hint="eastAsia" w:ascii="宋体" w:hAnsi="宋体" w:eastAsia="宋体" w:cs="宋体"/>
                <w:color w:val="000000" w:themeColor="text1"/>
              </w:rPr>
              <w:t>7</w:t>
            </w:r>
            <w:r>
              <w:rPr>
                <w:rFonts w:hint="eastAsia" w:ascii="宋体" w:hAnsi="宋体" w:eastAsia="宋体" w:cs="宋体"/>
                <w:color w:val="000000" w:themeColor="text1"/>
              </w:rPr>
              <w:t>）地质调查与矿产资源勘查开采。包括：基础地质调查和战略性矿产资源远景调查等公益性工作；铀矿勘查开采活动，可办理矿业权登记；已依法设立的油气探矿权继续勘查活动，可办理探矿权延续、变更（不含扩大勘查区块范围）、保留、注销，当发现可供开采油气资源并探明储量时，可将开采拟占用的地表或海域范围依照国家相关规定调出生态保护红线；已依法设立的油气采矿权不扩大用地用海范围，继续开采，可办理采矿权延续、变更（不含扩大矿区范围）、注销；已依法设立的矿泉水和地热采矿权，在不超出已经核定的生产规模、不新增生产设施的前提下继续开采，可办理采矿权延续、变更（不含扩大矿区范围）、注销；已依法设立和新立铬、铜、镍、锂、钴、锆、钾盐、（中）重稀土矿等战略性矿产探矿权开展勘查活动，可办理探矿权登记，因国家战略需要开展开采的，可办理采矿权登记。上述勘查开采活动，应落实减缓生态环境影响措施，严格执行绿色勘查、开采及矿山环境生态修复相关要求。</w:t>
            </w:r>
          </w:p>
          <w:p w14:paraId="704FFC93">
            <w:pPr>
              <w:pStyle w:val="35"/>
              <w:spacing w:before="0" w:beforeAutospacing="0" w:after="0" w:afterAutospacing="0" w:line="400" w:lineRule="exact"/>
              <w:ind w:firstLine="480" w:firstLineChars="200"/>
              <w:jc w:val="both"/>
              <w:rPr>
                <w:rFonts w:hint="eastAsia" w:ascii="宋体" w:hAnsi="宋体" w:eastAsia="宋体" w:cs="宋体"/>
                <w:color w:val="000000" w:themeColor="text1"/>
              </w:rPr>
            </w:pPr>
            <w:r>
              <w:rPr>
                <w:rFonts w:hint="eastAsia" w:ascii="宋体" w:hAnsi="宋体" w:eastAsia="宋体" w:cs="宋体"/>
                <w:color w:val="000000" w:themeColor="text1"/>
              </w:rPr>
              <w:t>（</w:t>
            </w:r>
            <w:r>
              <w:rPr>
                <w:rFonts w:hint="eastAsia" w:ascii="宋体" w:hAnsi="宋体" w:eastAsia="宋体" w:cs="宋体"/>
                <w:color w:val="000000" w:themeColor="text1"/>
              </w:rPr>
              <w:t>8</w:t>
            </w:r>
            <w:r>
              <w:rPr>
                <w:rFonts w:hint="eastAsia" w:ascii="宋体" w:hAnsi="宋体" w:eastAsia="宋体" w:cs="宋体"/>
                <w:color w:val="000000" w:themeColor="text1"/>
              </w:rPr>
              <w:t>）依据县级以上国土空间规划和生态保护修复专项规划开展的生态修复。</w:t>
            </w:r>
          </w:p>
          <w:p w14:paraId="373DD829">
            <w:pPr>
              <w:pStyle w:val="35"/>
              <w:spacing w:before="0" w:beforeAutospacing="0" w:after="0" w:afterAutospacing="0" w:line="400" w:lineRule="exact"/>
              <w:ind w:firstLine="480" w:firstLineChars="200"/>
              <w:jc w:val="both"/>
              <w:rPr>
                <w:rFonts w:hint="eastAsia" w:ascii="宋体" w:hAnsi="宋体" w:eastAsia="宋体" w:cs="宋体"/>
                <w:color w:val="000000" w:themeColor="text1"/>
              </w:rPr>
            </w:pPr>
            <w:r>
              <w:rPr>
                <w:rFonts w:hint="eastAsia" w:ascii="宋体" w:hAnsi="宋体" w:eastAsia="宋体" w:cs="宋体"/>
                <w:color w:val="000000" w:themeColor="text1"/>
              </w:rPr>
              <w:t>（</w:t>
            </w:r>
            <w:r>
              <w:rPr>
                <w:rFonts w:hint="eastAsia" w:ascii="宋体" w:hAnsi="宋体" w:eastAsia="宋体" w:cs="宋体"/>
                <w:color w:val="000000" w:themeColor="text1"/>
              </w:rPr>
              <w:t>9</w:t>
            </w:r>
            <w:r>
              <w:rPr>
                <w:rFonts w:hint="eastAsia" w:ascii="宋体" w:hAnsi="宋体" w:eastAsia="宋体" w:cs="宋体"/>
                <w:color w:val="000000" w:themeColor="text1"/>
              </w:rPr>
              <w:t>）根据我国相关法律法规和与邻国签署的国界管理制度协定（条约）开展的边界通视道清理以及界务工程的修建、维护和拆除工作。</w:t>
            </w:r>
          </w:p>
          <w:p w14:paraId="12CA3884">
            <w:pPr>
              <w:spacing w:line="400" w:lineRule="exact"/>
              <w:ind w:firstLine="480" w:firstLineChars="200"/>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w:t>
            </w:r>
            <w:r>
              <w:rPr>
                <w:rFonts w:hint="eastAsia" w:ascii="宋体" w:hAnsi="宋体" w:eastAsia="宋体" w:cs="宋体"/>
                <w:color w:val="000000" w:themeColor="text1"/>
                <w:kern w:val="0"/>
                <w:sz w:val="24"/>
                <w:szCs w:val="24"/>
              </w:rPr>
              <w:t>10</w:t>
            </w:r>
            <w:r>
              <w:rPr>
                <w:rFonts w:hint="eastAsia" w:ascii="宋体" w:hAnsi="宋体" w:eastAsia="宋体" w:cs="宋体"/>
                <w:color w:val="000000" w:themeColor="text1"/>
                <w:kern w:val="0"/>
                <w:sz w:val="24"/>
                <w:szCs w:val="24"/>
              </w:rPr>
              <w:t>）法律法规规定允许的其他人为活动。</w:t>
            </w:r>
          </w:p>
          <w:p w14:paraId="677D2FF6">
            <w:pPr>
              <w:spacing w:line="400" w:lineRule="exact"/>
              <w:ind w:firstLine="480" w:firstLineChars="200"/>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上述有限人为活动，涉及新增建设用地用海审批的，报批时附具省政府符合生态保护红线内允许有限人为活动的认定意见；不涉及新增建设用地用海的，按有关规定进行管理。</w:t>
            </w:r>
          </w:p>
        </w:tc>
      </w:tr>
    </w:tbl>
    <w:p w14:paraId="58717871">
      <w:pPr>
        <w:pStyle w:val="35"/>
        <w:spacing w:before="0" w:beforeAutospacing="0" w:after="0" w:afterAutospacing="0" w:line="300" w:lineRule="exact"/>
        <w:jc w:val="both"/>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注：上述规则随相关法律法规及政策规定调整更新。</w:t>
      </w:r>
    </w:p>
    <w:p w14:paraId="244846BC">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城镇开发边界</w:t>
      </w:r>
    </w:p>
    <w:p w14:paraId="09EBB6DB">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u w:val="single"/>
        </w:rPr>
      </w:pPr>
      <w:r>
        <w:rPr>
          <w:rFonts w:hint="eastAsia" w:ascii="宋体" w:hAnsi="宋体" w:eastAsia="宋体" w:cs="宋体"/>
          <w:color w:val="000000" w:themeColor="text1"/>
          <w:sz w:val="32"/>
          <w:szCs w:val="32"/>
        </w:rPr>
        <w:t>实施全面节约战略，引导城镇建设用地集中布局。在优先划定耕地和永久基本农田保护红线、生态保护红线的基础上，避让地质灾害极高风险区和高风险区等不适宜城镇建设区域，确实无法避让的应当充分论证并说明理由，明确减缓不良影响的措施，结合人口变化趋势和存量建设用地情况，</w:t>
      </w:r>
      <w:r>
        <w:rPr>
          <w:rFonts w:hint="eastAsia" w:ascii="宋体" w:hAnsi="宋体" w:eastAsia="宋体" w:cs="宋体"/>
          <w:color w:val="000000" w:themeColor="text1"/>
          <w:sz w:val="32"/>
          <w:szCs w:val="32"/>
          <w:u w:val="none"/>
        </w:rPr>
        <w:t>全市划定城镇开发边界面积</w:t>
      </w:r>
      <w:r>
        <w:rPr>
          <w:rFonts w:hint="eastAsia" w:ascii="宋体" w:hAnsi="宋体" w:eastAsia="宋体" w:cs="宋体"/>
          <w:color w:val="000000" w:themeColor="text1"/>
          <w:sz w:val="32"/>
          <w:szCs w:val="32"/>
          <w:u w:val="none"/>
        </w:rPr>
        <w:t>1495</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51</w:t>
      </w:r>
      <w:r>
        <w:rPr>
          <w:rFonts w:hint="eastAsia" w:ascii="宋体" w:hAnsi="宋体" w:eastAsia="宋体" w:cs="宋体"/>
          <w:color w:val="000000" w:themeColor="text1"/>
          <w:sz w:val="32"/>
          <w:szCs w:val="32"/>
          <w:u w:val="none"/>
        </w:rPr>
        <w:t>平方千米。</w:t>
      </w:r>
    </w:p>
    <w:tbl>
      <w:tblPr>
        <w:tblStyle w:val="3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8B27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blHeader/>
        </w:trPr>
        <w:tc>
          <w:tcPr>
            <w:tcW w:w="5000" w:type="pct"/>
          </w:tcPr>
          <w:p w14:paraId="698BC5A6">
            <w:pPr>
              <w:spacing w:line="400" w:lineRule="exact"/>
              <w:jc w:val="center"/>
              <w:rPr>
                <w:rFonts w:hint="eastAsia" w:ascii="宋体" w:hAnsi="宋体" w:eastAsia="宋体" w:cs="宋体"/>
                <w:color w:val="000000" w:themeColor="text1"/>
                <w:kern w:val="0"/>
                <w:sz w:val="30"/>
                <w:szCs w:val="30"/>
              </w:rPr>
            </w:pPr>
            <w:r>
              <w:rPr>
                <w:rFonts w:hint="eastAsia" w:ascii="宋体" w:hAnsi="宋体" w:eastAsia="宋体" w:cs="宋体"/>
                <w:color w:val="000000" w:themeColor="text1"/>
                <w:kern w:val="0"/>
                <w:sz w:val="30"/>
                <w:szCs w:val="30"/>
              </w:rPr>
              <w:t>专栏</w:t>
            </w:r>
            <w:r>
              <w:rPr>
                <w:rFonts w:hint="eastAsia" w:ascii="宋体" w:hAnsi="宋体" w:eastAsia="宋体" w:cs="宋体"/>
                <w:color w:val="000000" w:themeColor="text1"/>
                <w:kern w:val="0"/>
                <w:sz w:val="30"/>
                <w:szCs w:val="30"/>
              </w:rPr>
              <w:t>4</w:t>
            </w:r>
            <w:r>
              <w:rPr>
                <w:rFonts w:hint="eastAsia" w:ascii="宋体" w:hAnsi="宋体" w:eastAsia="宋体" w:cs="宋体"/>
                <w:color w:val="000000" w:themeColor="text1"/>
                <w:kern w:val="0"/>
                <w:sz w:val="30"/>
                <w:szCs w:val="30"/>
              </w:rPr>
              <w:t>-</w:t>
            </w:r>
            <w:r>
              <w:rPr>
                <w:rFonts w:hint="eastAsia" w:ascii="宋体" w:hAnsi="宋体" w:eastAsia="宋体" w:cs="宋体"/>
                <w:color w:val="000000" w:themeColor="text1"/>
                <w:kern w:val="0"/>
                <w:sz w:val="30"/>
                <w:szCs w:val="30"/>
              </w:rPr>
              <w:t>3</w:t>
            </w:r>
            <w:r>
              <w:rPr>
                <w:rFonts w:hint="eastAsia" w:ascii="宋体" w:hAnsi="宋体" w:eastAsia="宋体" w:cs="宋体"/>
                <w:color w:val="000000" w:themeColor="text1"/>
                <w:kern w:val="0"/>
                <w:sz w:val="30"/>
                <w:szCs w:val="30"/>
              </w:rPr>
              <w:t>城镇开发边界管控基本要求</w:t>
            </w:r>
          </w:p>
        </w:tc>
      </w:tr>
      <w:tr w14:paraId="4D8C4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14:paraId="6FB7D13F">
            <w:pPr>
              <w:spacing w:line="400" w:lineRule="exact"/>
              <w:ind w:firstLine="480" w:firstLineChars="200"/>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城镇开发边界内，各类建设活动严格实行用途管制，按照规划用途依法办理有关手续，并加强与水体保护线、绿地系统线、基础设施建设控制线、历史文化保护线等协同管控。严格城镇开发边界外的空间准入，原则上除特殊用地外，只能用于农业生产、乡村振兴、生态保护和交通等基础设施建设，不得进行城镇集中建设，不得设立各类开发区。</w:t>
            </w:r>
          </w:p>
          <w:p w14:paraId="546851D0">
            <w:pPr>
              <w:spacing w:line="400" w:lineRule="exact"/>
              <w:ind w:firstLine="480" w:firstLineChars="200"/>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城镇开发边界一经划定，原则上不得调整。因国家重大战略调整、国家重大项目建设、行政区划调整等确需调整的，按照相关程序执行。</w:t>
            </w:r>
          </w:p>
        </w:tc>
      </w:tr>
    </w:tbl>
    <w:p w14:paraId="5765EF1E">
      <w:pPr>
        <w:pStyle w:val="35"/>
        <w:spacing w:before="0" w:beforeAutospacing="0" w:after="0" w:afterAutospacing="0" w:line="300" w:lineRule="exact"/>
        <w:jc w:val="both"/>
        <w:rPr>
          <w:rFonts w:hint="eastAsia" w:ascii="宋体" w:hAnsi="宋体" w:eastAsia="宋体" w:cs="宋体"/>
          <w:color w:val="000000" w:themeColor="text1"/>
          <w:sz w:val="21"/>
          <w:szCs w:val="21"/>
        </w:rPr>
      </w:pPr>
      <w:r>
        <w:rPr>
          <w:rFonts w:hint="eastAsia" w:ascii="宋体" w:hAnsi="宋体" w:eastAsia="宋体" w:cs="宋体"/>
          <w:color w:val="000000" w:themeColor="text1"/>
          <w:sz w:val="21"/>
          <w:szCs w:val="21"/>
        </w:rPr>
        <w:t>注：上述规则随相关法律法规及政策规定调整更新。</w:t>
      </w:r>
    </w:p>
    <w:p w14:paraId="71F789C9">
      <w:pPr>
        <w:pStyle w:val="3"/>
        <w:numPr>
          <w:ilvl w:val="0"/>
          <w:numId w:val="3"/>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41" w:name="_Toc185189009"/>
      <w:bookmarkStart w:id="42" w:name="_Toc176945797"/>
      <w:bookmarkStart w:id="43" w:name="_Toc30250"/>
      <w:bookmarkStart w:id="44" w:name="_Toc161582229"/>
      <w:r>
        <w:rPr>
          <w:rFonts w:hint="eastAsia" w:ascii="宋体" w:hAnsi="宋体" w:eastAsia="宋体" w:cs="宋体"/>
          <w:b w:val="0"/>
          <w:bCs w:val="0"/>
          <w:color w:val="000000" w:themeColor="text1"/>
        </w:rPr>
        <w:t>国土空间开发保护格局</w:t>
      </w:r>
      <w:bookmarkEnd w:id="41"/>
      <w:bookmarkEnd w:id="42"/>
      <w:bookmarkEnd w:id="43"/>
    </w:p>
    <w:bookmarkEnd w:id="44"/>
    <w:p w14:paraId="6E03A310">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主体功能定位</w:t>
      </w:r>
    </w:p>
    <w:p w14:paraId="537B948E">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深化落实国家主体功能区战略，结合无锡市经济社会发展需求和“三区三线”划定成果，优化细化主体功能区，全市包括城市化地区和重点生态功能区两类。城市化地区重点加快推进产业升级，增强高端要素的集聚能力，鼓励空间功能混合和土地复合利用，促进集约高效。重点生态功能区以维护生态系统服务功能为导向，重点保障区域生态安全，保持并提高生态产品供给能力。</w:t>
      </w:r>
    </w:p>
    <w:p w14:paraId="0BE35CD1">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总体格局</w:t>
      </w:r>
    </w:p>
    <w:p w14:paraId="7DF3399B">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衔接以粮食生产功能区和重要农产品生产保护区为重点的国家粮食安全产业带、</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三区四带</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国家</w:t>
      </w:r>
      <w:r>
        <w:rPr>
          <w:rFonts w:hint="eastAsia" w:ascii="宋体" w:hAnsi="宋体" w:eastAsia="宋体" w:cs="宋体"/>
          <w:color w:val="000000" w:themeColor="text1"/>
          <w:sz w:val="32"/>
          <w:szCs w:val="32"/>
        </w:rPr>
        <w:t>生态安全屏障和</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两横三纵</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全</w:t>
      </w:r>
      <w:r>
        <w:rPr>
          <w:rFonts w:hint="eastAsia" w:ascii="宋体" w:hAnsi="宋体" w:eastAsia="宋体" w:cs="宋体"/>
          <w:color w:val="000000" w:themeColor="text1"/>
          <w:sz w:val="32"/>
          <w:szCs w:val="32"/>
        </w:rPr>
        <w:t>国</w:t>
      </w:r>
      <w:r>
        <w:rPr>
          <w:rFonts w:hint="eastAsia" w:ascii="宋体" w:hAnsi="宋体" w:eastAsia="宋体" w:cs="宋体"/>
          <w:color w:val="000000" w:themeColor="text1"/>
          <w:sz w:val="32"/>
          <w:szCs w:val="32"/>
        </w:rPr>
        <w:t>城镇化战略格局，落实江苏省国土空间总体格局，保护区域生态安全，优化城镇用地布局，凸显无锡市山水文化特色，构建“通江达湖、一体两翼、阡陌田园、城乡互融”的市域国土空间总体格局。</w:t>
      </w:r>
    </w:p>
    <w:p w14:paraId="6E6569E8">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通江达湖。</w:t>
      </w:r>
      <w:r>
        <w:rPr>
          <w:rFonts w:hint="eastAsia" w:ascii="宋体" w:hAnsi="宋体" w:eastAsia="宋体" w:cs="宋体"/>
          <w:color w:val="000000" w:themeColor="text1"/>
          <w:sz w:val="32"/>
          <w:szCs w:val="32"/>
        </w:rPr>
        <w:t>依托无锡市北枕长江、南濒太湖的区位优势，江阴市以长江为依托实现沿江高质量发展，建设滨江花园城市；市辖区、宜兴市以太湖为纽带，建设太湖湾科技创新带。</w:t>
      </w:r>
    </w:p>
    <w:p w14:paraId="3E35A826">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一体两翼。</w:t>
      </w:r>
      <w:r>
        <w:rPr>
          <w:rFonts w:hint="eastAsia" w:ascii="宋体" w:hAnsi="宋体" w:eastAsia="宋体" w:cs="宋体"/>
          <w:color w:val="000000" w:themeColor="text1"/>
          <w:sz w:val="32"/>
          <w:szCs w:val="32"/>
        </w:rPr>
        <w:t>强化以市辖区为主体，江阴市、宜兴市为两翼的总体城镇空间布局，增强无锡中心城市的区域辐射带动力。推进锡澄协同发展区、锡宜协同发展区建设，积极培育江阴市、宜兴市两个副中心城市，实现市域一体化发展。</w:t>
      </w:r>
    </w:p>
    <w:p w14:paraId="3371925A">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阡陌田园。</w:t>
      </w:r>
      <w:r>
        <w:rPr>
          <w:rFonts w:hint="eastAsia" w:ascii="宋体" w:hAnsi="宋体" w:eastAsia="宋体" w:cs="宋体"/>
          <w:color w:val="000000" w:themeColor="text1"/>
          <w:sz w:val="32"/>
          <w:szCs w:val="32"/>
        </w:rPr>
        <w:t>保护江阴市南部、锡山区东部、惠山区西北部、宜兴市北部等地区的集中连片耕地，结合锡澄运河、直湖港、望虞河等重要生态廊道，构建湖荡与田园协调的阡陌网络格局。</w:t>
      </w:r>
    </w:p>
    <w:p w14:paraId="5AE1136F">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城乡互融。</w:t>
      </w:r>
      <w:r>
        <w:rPr>
          <w:rFonts w:hint="eastAsia" w:ascii="宋体" w:hAnsi="宋体" w:eastAsia="宋体" w:cs="宋体"/>
          <w:color w:val="000000" w:themeColor="text1"/>
          <w:sz w:val="32"/>
          <w:szCs w:val="32"/>
        </w:rPr>
        <w:t>以生态绿色开敞空间为基底，以城乡一体交通路网为纽带，形成功能互补、设施共享、风貌协调的城乡空间网络。</w:t>
      </w:r>
    </w:p>
    <w:p w14:paraId="2D4E9C3A">
      <w:pPr>
        <w:pStyle w:val="3"/>
        <w:numPr>
          <w:ilvl w:val="0"/>
          <w:numId w:val="3"/>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45" w:name="_Toc21689"/>
      <w:bookmarkStart w:id="46" w:name="_Toc176945798"/>
      <w:bookmarkStart w:id="47" w:name="_Toc161582231"/>
      <w:bookmarkStart w:id="48" w:name="_Toc185189010"/>
      <w:r>
        <w:rPr>
          <w:rFonts w:hint="eastAsia" w:ascii="宋体" w:hAnsi="宋体" w:eastAsia="宋体" w:cs="宋体"/>
          <w:b w:val="0"/>
          <w:bCs w:val="0"/>
          <w:color w:val="000000" w:themeColor="text1"/>
        </w:rPr>
        <w:t>规划分区管控</w:t>
      </w:r>
      <w:bookmarkEnd w:id="45"/>
      <w:bookmarkEnd w:id="46"/>
      <w:bookmarkEnd w:id="47"/>
      <w:bookmarkEnd w:id="48"/>
    </w:p>
    <w:p w14:paraId="29ED780D">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规划分区</w:t>
      </w:r>
    </w:p>
    <w:p w14:paraId="7CDF6836">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将国土空间规划分区和国土空间用途管制有机融合，实现上下传导、逐层深化。市域层面划分生态保护区、生态控制区、农田保护区、城镇发展区、乡村发展区</w:t>
      </w:r>
      <w:r>
        <w:rPr>
          <w:rFonts w:hint="eastAsia" w:ascii="宋体" w:hAnsi="宋体" w:eastAsia="宋体" w:cs="宋体"/>
          <w:color w:val="000000" w:themeColor="text1"/>
          <w:sz w:val="32"/>
          <w:szCs w:val="32"/>
        </w:rPr>
        <w:t>5</w:t>
      </w:r>
      <w:r>
        <w:rPr>
          <w:rFonts w:hint="eastAsia" w:ascii="宋体" w:hAnsi="宋体" w:eastAsia="宋体" w:cs="宋体"/>
          <w:color w:val="000000" w:themeColor="text1"/>
          <w:sz w:val="32"/>
          <w:szCs w:val="32"/>
        </w:rPr>
        <w:t>类一级规划分区。</w:t>
      </w:r>
    </w:p>
    <w:p w14:paraId="24997E1D">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br w:type="page"/>
      </w:r>
    </w:p>
    <w:bookmarkEnd w:id="27"/>
    <w:bookmarkEnd w:id="28"/>
    <w:bookmarkEnd w:id="29"/>
    <w:bookmarkEnd w:id="30"/>
    <w:bookmarkEnd w:id="31"/>
    <w:bookmarkEnd w:id="32"/>
    <w:bookmarkEnd w:id="33"/>
    <w:bookmarkEnd w:id="34"/>
    <w:p w14:paraId="0EA24EC7">
      <w:pPr>
        <w:pStyle w:val="2"/>
        <w:numPr>
          <w:ilvl w:val="0"/>
          <w:numId w:val="2"/>
        </w:numPr>
        <w:snapToGrid w:val="0"/>
        <w:spacing w:before="0" w:after="156" w:afterLines="50" w:line="500" w:lineRule="exact"/>
        <w:ind w:left="0" w:firstLine="0"/>
        <w:jc w:val="center"/>
        <w:rPr>
          <w:rFonts w:hint="eastAsia" w:ascii="宋体" w:hAnsi="宋体" w:eastAsia="宋体" w:cs="宋体"/>
          <w:b w:val="0"/>
          <w:color w:val="000000" w:themeColor="text1"/>
          <w:sz w:val="36"/>
          <w:szCs w:val="36"/>
        </w:rPr>
      </w:pPr>
      <w:bookmarkStart w:id="49" w:name="_Toc176945799"/>
      <w:bookmarkStart w:id="50" w:name="_Toc161582232"/>
      <w:bookmarkStart w:id="51" w:name="_Toc7874"/>
      <w:bookmarkStart w:id="52" w:name="_Toc185189011"/>
      <w:bookmarkStart w:id="53" w:name="_Toc139397151"/>
      <w:bookmarkStart w:id="54" w:name="_Toc156410564"/>
      <w:r>
        <w:rPr>
          <w:rFonts w:hint="eastAsia" w:ascii="宋体" w:hAnsi="宋体" w:eastAsia="宋体" w:cs="宋体"/>
          <w:b w:val="0"/>
          <w:color w:val="000000" w:themeColor="text1"/>
          <w:sz w:val="36"/>
          <w:szCs w:val="36"/>
        </w:rPr>
        <w:t>农业空间与乡村振兴</w:t>
      </w:r>
      <w:bookmarkEnd w:id="49"/>
      <w:bookmarkEnd w:id="50"/>
      <w:bookmarkEnd w:id="51"/>
      <w:bookmarkEnd w:id="52"/>
    </w:p>
    <w:p w14:paraId="1671E7E4">
      <w:pPr>
        <w:pStyle w:val="3"/>
        <w:numPr>
          <w:ilvl w:val="0"/>
          <w:numId w:val="4"/>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55" w:name="_Toc176945800"/>
      <w:bookmarkStart w:id="56" w:name="_Toc11125"/>
      <w:bookmarkStart w:id="57" w:name="_Toc161582233"/>
      <w:bookmarkStart w:id="58" w:name="_Toc185189012"/>
      <w:r>
        <w:rPr>
          <w:rFonts w:hint="eastAsia" w:ascii="宋体" w:hAnsi="宋体" w:eastAsia="宋体" w:cs="宋体"/>
          <w:b w:val="0"/>
          <w:bCs w:val="0"/>
          <w:color w:val="000000" w:themeColor="text1"/>
        </w:rPr>
        <w:t>农业空间格局</w:t>
      </w:r>
      <w:bookmarkEnd w:id="55"/>
      <w:bookmarkEnd w:id="56"/>
      <w:bookmarkEnd w:id="57"/>
      <w:bookmarkEnd w:id="58"/>
    </w:p>
    <w:p w14:paraId="58807BA0">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空间格局</w:t>
      </w:r>
    </w:p>
    <w:p w14:paraId="456CD0A2">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u w:val="single"/>
        </w:rPr>
      </w:pPr>
      <w:r>
        <w:rPr>
          <w:rFonts w:hint="eastAsia" w:ascii="宋体" w:hAnsi="宋体" w:eastAsia="宋体" w:cs="宋体"/>
          <w:color w:val="000000" w:themeColor="text1"/>
          <w:sz w:val="32"/>
          <w:szCs w:val="32"/>
          <w:u w:val="none"/>
        </w:rPr>
        <w:t>坚守国家粮食安全底线，以优质集中连片耕地为依托，以粮食生产功能区和重要农产品生产保护区为基础，构建</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三片五园</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的农业空间格局。</w:t>
      </w:r>
    </w:p>
    <w:p w14:paraId="19C99DAA">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三片：</w:t>
      </w:r>
      <w:r>
        <w:rPr>
          <w:rFonts w:hint="eastAsia" w:ascii="宋体" w:hAnsi="宋体" w:eastAsia="宋体" w:cs="宋体"/>
          <w:color w:val="000000" w:themeColor="text1"/>
          <w:sz w:val="32"/>
          <w:szCs w:val="32"/>
        </w:rPr>
        <w:t>指锡北澄南都市田园片、宜西宜北乡村田园片和环湖嵌山农文旅融合发展片。锡北澄南都市田园片以高品质粮食蔬菜保供和生态绿色高端农产品种植等都市农业为特色；宜西宜北乡村田园片以优质稻米保供和太湖特色水产养殖为特色；环湖嵌山农文旅融合发展片以精品园艺、特色果品、名优茶叶为特色。</w:t>
      </w:r>
    </w:p>
    <w:p w14:paraId="381958A6">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五园：</w:t>
      </w:r>
      <w:r>
        <w:rPr>
          <w:rFonts w:hint="eastAsia" w:ascii="宋体" w:hAnsi="宋体" w:eastAsia="宋体" w:cs="宋体"/>
          <w:color w:val="000000" w:themeColor="text1"/>
          <w:sz w:val="32"/>
          <w:szCs w:val="32"/>
        </w:rPr>
        <w:t>指江阴市现代农业产业示范园、宜兴市现代农业产业园、无锡市锡山区现代农业产业园、无锡市惠山区现代农业产业园和无锡市滨湖区现代农业产业高质量发展示范园</w:t>
      </w:r>
      <w:r>
        <w:rPr>
          <w:rFonts w:hint="eastAsia" w:ascii="宋体" w:hAnsi="宋体" w:eastAsia="宋体" w:cs="宋体"/>
          <w:color w:val="000000" w:themeColor="text1"/>
          <w:sz w:val="32"/>
          <w:szCs w:val="32"/>
        </w:rPr>
        <w:t>5</w:t>
      </w:r>
      <w:r>
        <w:rPr>
          <w:rFonts w:hint="eastAsia" w:ascii="宋体" w:hAnsi="宋体" w:eastAsia="宋体" w:cs="宋体"/>
          <w:color w:val="000000" w:themeColor="text1"/>
          <w:sz w:val="32"/>
          <w:szCs w:val="32"/>
        </w:rPr>
        <w:t>个重点建设的现代农业产业园。全面提升现代农业产业园能级，发挥其在农业生产、科技集成、产业融合、改革示范等方面的引领作用。</w:t>
      </w:r>
    </w:p>
    <w:p w14:paraId="3A856166">
      <w:pPr>
        <w:pStyle w:val="3"/>
        <w:numPr>
          <w:ilvl w:val="0"/>
          <w:numId w:val="4"/>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59" w:name="_Toc161582234"/>
      <w:bookmarkStart w:id="60" w:name="_Toc185189013"/>
      <w:bookmarkStart w:id="61" w:name="_Toc176945801"/>
      <w:bookmarkStart w:id="62" w:name="_Toc12581"/>
      <w:r>
        <w:rPr>
          <w:rFonts w:hint="eastAsia" w:ascii="宋体" w:hAnsi="宋体" w:eastAsia="宋体" w:cs="宋体"/>
          <w:b w:val="0"/>
          <w:bCs w:val="0"/>
          <w:color w:val="000000" w:themeColor="text1"/>
        </w:rPr>
        <w:t>耕地保护</w:t>
      </w:r>
      <w:bookmarkEnd w:id="59"/>
      <w:bookmarkEnd w:id="60"/>
      <w:bookmarkEnd w:id="61"/>
      <w:bookmarkEnd w:id="62"/>
    </w:p>
    <w:p w14:paraId="2D0E077F">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严格耕地用途管制</w:t>
      </w:r>
    </w:p>
    <w:p w14:paraId="0C735EBF">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分类明确耕地用途，严格落实耕地利用优先序。耕地主要用于粮食和棉、油、糖、蔬菜等农产品及饲草饲料生产。永久基本农田重点用于发展粮食生产，特别是保障稻谷、小麦、玉米三大谷物的播种面积。</w:t>
      </w:r>
    </w:p>
    <w:p w14:paraId="0600E5B0">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坚决遏制耕地</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非农化</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。从严控制非农建设占用耕地，确需占用的，必须落实耕地占补平衡，严格执行先补后占和</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占一补一、占优补优、占水田补水田</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，确保补充的耕地数量相等、质量相当、产能不降。</w:t>
      </w:r>
    </w:p>
    <w:p w14:paraId="332203B5">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严格管控耕地</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非粮化</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。防止永久基本农田特别是高标准农田</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非粮化</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合理控制农业结构调整，对耕地转为其他农用地及农业设施建设用地的，通过统筹开展农用地整治，补足同等数量、质量的可以长期稳定利用的耕地，实现市域范围内可以长期稳定利用的耕地数量不减少、质量不降低。</w:t>
      </w:r>
    </w:p>
    <w:p w14:paraId="141E6A51">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强化</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党委领导、政府负责、部门协同、公众参与、上下联动</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的耕地保护共同责任机制。健全地方各级党委和政府落实耕地保护和粮食安全责任考核机制，压实耕地保护主体责任，对耕地保护责任目标完成情况定期考核，实行耕地保护党政同责、终身追责。</w:t>
      </w:r>
    </w:p>
    <w:p w14:paraId="6E4FD41A">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稳定耕地数量</w:t>
      </w:r>
    </w:p>
    <w:p w14:paraId="7788C659">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推进耕地恢复潜力调查。调查耕地恢复补充潜力资源的类型、分布、数量、现状使用情况、恢复意愿、恢复成本等，综合评价耕地恢复潜力及难易程度，全面摸清全市耕地恢复潜力状况和空间布局。</w:t>
      </w:r>
    </w:p>
    <w:p w14:paraId="022C3CE2">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稳妥有序恢复耕地。按照上级核定的耕地保护责任缺口，引导各县（市、区）加大土地综合整治力度，通过全域土地综合整治试点、城乡建设用地增减挂钩、高标准农田建设等方式有效新增耕地。重点推进江阴市中部、宜兴市北部、市辖区东部和西部的耕地恢复，按照先易后难原则，统筹耕地恢复的空间安排与实施时序，逐步补足耕地保护责任缺口。</w:t>
      </w:r>
    </w:p>
    <w:p w14:paraId="30146DB9">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有序实施耕地整理开发。依法依规科学推进农用地整理、宜耕后备土地资源开发和建设用地复垦。不得以整治名义擅自毁林开垦，对违规占用耕地进行整改复耕要实事求是、尊重规律，保护农民利益，加强宣传解读，适当留出过渡期，循序渐进推动。</w:t>
      </w:r>
    </w:p>
    <w:p w14:paraId="666817F2">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优化耕地布局</w:t>
      </w:r>
    </w:p>
    <w:p w14:paraId="785B8F95">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合理引导种植业结构调整，加强土地综合整治、高标准农田建设，推进零散耕地整合归并、提质改造，形成集中连片、田块规整的优质耕地，为机械化作业和规模化经营提供基础保障。</w:t>
      </w:r>
    </w:p>
    <w:p w14:paraId="4B82887A">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提升耕地质量</w:t>
      </w:r>
    </w:p>
    <w:p w14:paraId="2D70C004">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坚持用地与养地相结合，健全耕地休耕轮作制度，促进耕地可持续利用。整合农田水利设施资源，提升水利设施配套水平和灌溉水利用系数，增加有效灌溉面积和旱涝保收田面积。全面推行建设占用耕地耕作层剥离再利用，将所占用耕地耕作层的土壤用于新开垦耕地、劣质地或者其他耕地的土壤改良。推广保护性耕作、秸秆还田等土壤改良技术，提升农田综合产出能力。</w:t>
      </w:r>
    </w:p>
    <w:p w14:paraId="7BC94CA5">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落实永久基本农田特殊保护</w:t>
      </w:r>
    </w:p>
    <w:p w14:paraId="1C2060A9">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严格落实永久基本农田管控要求，严格规范永久基本农田上的农业生产活动，完善永久基本农田保护措施，提高监管水平。加强永久基本农田质量建设，提高综合生产能力，优先在永久基本农田上开展土地综合整治。推进集中连片、旱涝保收、节水高效、稳产高产、生态友好的高标准农田建设。</w:t>
      </w:r>
    </w:p>
    <w:p w14:paraId="0E478129">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推进永久基本农田储备区建设</w:t>
      </w:r>
    </w:p>
    <w:p w14:paraId="093AFB08">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建立健全永久基本农田储备区制度，加强优质耕地储备。按照上级下达的永久基本农田储备区划定任务，将质量较好、集中连片的优质耕地划入永久基本农田储备区，优先将高标准农田划为永久基本农田。永久基本农田储备区划定后，按照一般耕地管理，参照永久基本农田管护，确保是可以长期稳定利用的耕地。可根据永久基本农田储备区补划情况、补划需求及耕地实际利用情况，结合年度国土变更调查，对永久基本农田储备区进行调整和更新。</w:t>
      </w:r>
    </w:p>
    <w:p w14:paraId="5B4995CE">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推进高标准农田建设</w:t>
      </w:r>
    </w:p>
    <w:p w14:paraId="71905996">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统筹永久基本农田保护与高标准农田建设，落实整区域推进高标准农田建设任务，按照应建尽建、集中连片、整体推进、分步实施的要求，明确区域布局，确定重点项目，细化落实地块。加强高标准农田建设管护，按照国家有关规定，将已建成的高标准农田划入永久基本农田（或划入永久基本农田储备区），实施特殊保护。涉及非农建设占用高标准农田的，应予以补建。</w:t>
      </w:r>
    </w:p>
    <w:p w14:paraId="226585FD">
      <w:pPr>
        <w:pStyle w:val="3"/>
        <w:numPr>
          <w:ilvl w:val="0"/>
          <w:numId w:val="4"/>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63" w:name="_Toc161582235"/>
      <w:bookmarkStart w:id="64" w:name="_Toc185189014"/>
      <w:bookmarkStart w:id="65" w:name="_Toc176945802"/>
      <w:bookmarkStart w:id="66" w:name="_Toc6189"/>
      <w:r>
        <w:rPr>
          <w:rFonts w:hint="eastAsia" w:ascii="宋体" w:hAnsi="宋体" w:eastAsia="宋体" w:cs="宋体"/>
          <w:b w:val="0"/>
          <w:bCs w:val="0"/>
          <w:color w:val="000000" w:themeColor="text1"/>
        </w:rPr>
        <w:t>乡村振兴</w:t>
      </w:r>
      <w:bookmarkEnd w:id="63"/>
      <w:bookmarkEnd w:id="64"/>
      <w:bookmarkEnd w:id="65"/>
      <w:bookmarkEnd w:id="66"/>
    </w:p>
    <w:p w14:paraId="3DC67108">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乡村振兴目标</w:t>
      </w:r>
    </w:p>
    <w:p w14:paraId="32485292">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立足无锡市高度城镇化特点，围绕现代农业产业发展，优化城乡公共资源配置，提升乡村人居环境，推进城乡高水平融合，建设具有江南吴韵水乡特色的宜居宜业和美乡村。</w:t>
      </w:r>
    </w:p>
    <w:p w14:paraId="062B1B6E">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现代农业产业布局</w:t>
      </w:r>
    </w:p>
    <w:p w14:paraId="4CDEFD21">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合理引导农业结构调整，构建以优质稻麦、精细蔬菜、特色果品、精品园艺、特种水产和生态畜禽为主的现代农业产业体系，提升农业产业效益。统筹地方特色资源，保障农业观光、休闲度假、教育体验、文化创意、科技创新、电子商务、健康养生等乡村新产业空间，促进农村一二三产业融合发展。引导各县（市、区）有序开展城乡建设用地增减挂钩，通过村庄规划专项流量指标等方式，为乡村建设、农业基础设施建设和高标准农田工程建设提供用地保障。</w:t>
      </w:r>
    </w:p>
    <w:p w14:paraId="6962153B">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乡村分类引导</w:t>
      </w:r>
    </w:p>
    <w:p w14:paraId="371249D5">
      <w:pPr>
        <w:pStyle w:val="35"/>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因地制宜、差异化推进村庄发展，统筹考虑农村村民生产生活需求，为村庄合理发展提供空间保障。集聚提升类村庄是乡村振兴的重点，优先布局乡村公共资源，保障村庄拓展用地。特色保护类村庄是传承和彰显优秀传统文化的重要载体，为维护村庄空间肌理和风貌特色、针对性地补充完善相关设施提供空间保障。城郊融合类村庄加快推进城乡融合发展，实现公共服务设施共建共享。搬迁撤并类村庄要与新型城镇化、农业现代化相结合，充分尊重农民意愿，稳妥有序推进村庄搬迁撤并，严格限制新建、扩建活动。</w:t>
      </w:r>
    </w:p>
    <w:p w14:paraId="09E5DEEA">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乡村公共服务</w:t>
      </w:r>
    </w:p>
    <w:p w14:paraId="06D5067E">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构建城乡一体化公共服务设施和市政设施体系，保障政务管理、便民服务、教育、医疗卫生、文化、体育、群众议事等功能的空间需求，强化污水处理、垃圾收集、燃气供应、通信网络、路灯和公交站点等基础设施建设的空间供给。按照综合配置和基本配置两级配置乡村公共设施。综合配置设施服务于整个行政村，提供相对齐全的日常生产生活服务，作为公共服务向乡村覆盖、城镇基础设施向乡村延伸的中心节点。基本配置设施主要服务于所在村庄，提供最基本的日常生产生活服务项目。</w:t>
      </w:r>
    </w:p>
    <w:p w14:paraId="30422E51">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乡村人居环境</w:t>
      </w:r>
    </w:p>
    <w:p w14:paraId="55FF0D95">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持续保护、修复和改善乡村生态环境，挖掘乡村地域文化景观资源，形成特色鲜明的江南水乡田园风光。江阴市南部、锡山区东部地区凸显田园风貌特色，宜兴市北部</w:t>
      </w:r>
      <w:r>
        <w:rPr>
          <w:rFonts w:hint="eastAsia" w:ascii="宋体" w:hAnsi="宋体" w:eastAsia="宋体" w:cs="宋体"/>
          <w:color w:val="000000" w:themeColor="text1"/>
          <w:sz w:val="32"/>
          <w:szCs w:val="32"/>
        </w:rPr>
        <w:t>滆</w:t>
      </w:r>
      <w:r>
        <w:rPr>
          <w:rFonts w:hint="eastAsia" w:ascii="宋体" w:hAnsi="宋体" w:eastAsia="宋体" w:cs="宋体"/>
          <w:color w:val="000000" w:themeColor="text1"/>
          <w:sz w:val="32"/>
          <w:szCs w:val="32"/>
        </w:rPr>
        <w:t>湖周边、江阴市马镇湿地和锡山区鹅湖</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厚桥地区凸显水乡风貌特色，宜兴市南部凸显丘陵风貌特色，环太湖乡村地区凸显湖滨山水风貌特色。整体打造江阴澄南、江阴临港、宜兴宜南、无锡宜滨、无锡锡新、无锡锡西</w:t>
      </w:r>
      <w:r>
        <w:rPr>
          <w:rFonts w:hint="eastAsia" w:ascii="宋体" w:hAnsi="宋体" w:eastAsia="宋体" w:cs="宋体"/>
          <w:color w:val="000000" w:themeColor="text1"/>
          <w:sz w:val="32"/>
          <w:szCs w:val="32"/>
        </w:rPr>
        <w:t>6</w:t>
      </w:r>
      <w:r>
        <w:rPr>
          <w:rFonts w:hint="eastAsia" w:ascii="宋体" w:hAnsi="宋体" w:eastAsia="宋体" w:cs="宋体"/>
          <w:color w:val="000000" w:themeColor="text1"/>
          <w:sz w:val="32"/>
          <w:szCs w:val="32"/>
        </w:rPr>
        <w:t>条美丽乡村示范带。</w:t>
      </w:r>
    </w:p>
    <w:bookmarkEnd w:id="53"/>
    <w:bookmarkEnd w:id="54"/>
    <w:p w14:paraId="60F1C477">
      <w:pPr>
        <w:pStyle w:val="3"/>
        <w:numPr>
          <w:ilvl w:val="0"/>
          <w:numId w:val="4"/>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67" w:name="_Toc185189015"/>
      <w:bookmarkStart w:id="68" w:name="_Toc176945803"/>
      <w:bookmarkStart w:id="69" w:name="_Toc18558"/>
      <w:r>
        <w:rPr>
          <w:rFonts w:hint="eastAsia" w:ascii="宋体" w:hAnsi="宋体" w:eastAsia="宋体" w:cs="宋体"/>
          <w:b w:val="0"/>
          <w:bCs w:val="0"/>
          <w:color w:val="000000" w:themeColor="text1"/>
        </w:rPr>
        <w:t>农村土地综合整治</w:t>
      </w:r>
      <w:bookmarkEnd w:id="67"/>
      <w:bookmarkEnd w:id="68"/>
      <w:bookmarkEnd w:id="69"/>
    </w:p>
    <w:p w14:paraId="00597FE5">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农用地整治</w:t>
      </w:r>
    </w:p>
    <w:p w14:paraId="7202925A">
      <w:pPr>
        <w:autoSpaceDE w:val="0"/>
        <w:autoSpaceDN w:val="0"/>
        <w:adjustRightInd w:val="0"/>
        <w:spacing w:line="600" w:lineRule="exact"/>
        <w:ind w:firstLine="640" w:firstLineChars="200"/>
        <w:rPr>
          <w:rFonts w:hint="eastAsia" w:ascii="宋体" w:hAnsi="宋体" w:eastAsia="宋体" w:cs="宋体"/>
          <w:color w:val="000000" w:themeColor="text1"/>
          <w:kern w:val="0"/>
          <w:sz w:val="36"/>
          <w:szCs w:val="36"/>
        </w:rPr>
      </w:pPr>
      <w:r>
        <w:rPr>
          <w:rFonts w:hint="eastAsia" w:ascii="宋体" w:hAnsi="宋体" w:eastAsia="宋体" w:cs="宋体"/>
          <w:color w:val="000000" w:themeColor="text1"/>
          <w:kern w:val="0"/>
          <w:sz w:val="32"/>
          <w:szCs w:val="32"/>
        </w:rPr>
        <w:t>有序推进耕地后备资源开发利用，统筹推进园地整理，整体开展高标准农田建设，逐步改造提升农田基础设施、配套设施、环境面貌等。重点推进锡山区锡北镇、羊尖镇、东港镇、鹅湖镇，惠山区前洲街道、玉祁街道、洛社镇、阳山镇，江阴市青阳镇、徐霞客镇，宜兴市杨巷镇等地区农用地整治。</w:t>
      </w:r>
    </w:p>
    <w:p w14:paraId="07C8D8DB">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农村建设用地整治</w:t>
      </w:r>
    </w:p>
    <w:p w14:paraId="2A29C6C1">
      <w:pPr>
        <w:autoSpaceDE w:val="0"/>
        <w:autoSpaceDN w:val="0"/>
        <w:adjustRightInd w:val="0"/>
        <w:spacing w:line="600" w:lineRule="exact"/>
        <w:ind w:firstLine="640" w:firstLineChars="200"/>
        <w:rPr>
          <w:rFonts w:hint="eastAsia" w:ascii="宋体" w:hAnsi="宋体" w:eastAsia="宋体" w:cs="宋体"/>
          <w:color w:val="000000" w:themeColor="text1"/>
          <w:kern w:val="0"/>
          <w:sz w:val="32"/>
          <w:szCs w:val="32"/>
        </w:rPr>
      </w:pPr>
      <w:r>
        <w:rPr>
          <w:rFonts w:hint="eastAsia" w:ascii="宋体" w:hAnsi="宋体" w:eastAsia="宋体" w:cs="宋体"/>
          <w:color w:val="000000" w:themeColor="text1"/>
          <w:kern w:val="0"/>
          <w:sz w:val="32"/>
          <w:szCs w:val="32"/>
        </w:rPr>
        <w:t>在保障农民权益基础上，有序推进村庄建设用地、工矿废弃地、闲置低效以及碎片化建设用地整治，改善乡村人居环境，提升农村建设用地节约集约水平，优化乡村生产、生活、生态空间。重点推进锡山区东港镇、锡北镇、羊尖镇、鹅湖镇，惠山区玉祁街道、阳山镇，江阴市南闸街道、月城镇、长泾镇，宜兴市张渚镇、太华镇、杨巷镇等地区农村建设用地整治。</w:t>
      </w:r>
    </w:p>
    <w:p w14:paraId="45710A22">
      <w:pPr>
        <w:spacing w:line="600" w:lineRule="exact"/>
        <w:ind w:firstLine="640" w:firstLineChars="200"/>
        <w:rPr>
          <w:rFonts w:hint="eastAsia" w:ascii="宋体" w:hAnsi="宋体" w:eastAsia="宋体" w:cs="宋体"/>
          <w:color w:val="000000" w:themeColor="text1"/>
          <w:sz w:val="32"/>
          <w:szCs w:val="32"/>
        </w:rPr>
        <w:sectPr>
          <w:pgSz w:w="11906" w:h="16838"/>
          <w:pgMar w:top="1440" w:right="1800" w:bottom="1440" w:left="1800" w:header="851" w:footer="992" w:gutter="0"/>
          <w:cols w:space="425" w:num="1"/>
          <w:docGrid w:type="lines" w:linePitch="312" w:charSpace="0"/>
        </w:sectPr>
      </w:pPr>
    </w:p>
    <w:p w14:paraId="050FD7FA">
      <w:pPr>
        <w:pStyle w:val="2"/>
        <w:numPr>
          <w:ilvl w:val="0"/>
          <w:numId w:val="2"/>
        </w:numPr>
        <w:snapToGrid w:val="0"/>
        <w:spacing w:before="0" w:after="156" w:afterLines="50" w:line="500" w:lineRule="exact"/>
        <w:ind w:left="0" w:firstLine="0"/>
        <w:jc w:val="center"/>
        <w:rPr>
          <w:rFonts w:hint="eastAsia" w:ascii="宋体" w:hAnsi="宋体" w:eastAsia="宋体" w:cs="宋体"/>
          <w:b w:val="0"/>
          <w:color w:val="000000" w:themeColor="text1"/>
          <w:sz w:val="36"/>
          <w:szCs w:val="36"/>
        </w:rPr>
      </w:pPr>
      <w:bookmarkStart w:id="70" w:name="_Toc24127"/>
      <w:bookmarkStart w:id="71" w:name="_Toc161582236"/>
      <w:bookmarkStart w:id="72" w:name="_Toc176945804"/>
      <w:bookmarkStart w:id="73" w:name="_Toc185189016"/>
      <w:bookmarkStart w:id="74" w:name="_Toc156410568"/>
      <w:bookmarkStart w:id="75" w:name="_Toc139397155"/>
      <w:r>
        <w:rPr>
          <w:rFonts w:hint="eastAsia" w:ascii="宋体" w:hAnsi="宋体" w:eastAsia="宋体" w:cs="宋体"/>
          <w:b w:val="0"/>
          <w:color w:val="000000" w:themeColor="text1"/>
          <w:sz w:val="36"/>
          <w:szCs w:val="36"/>
        </w:rPr>
        <w:t>生态空间与自然资源保护利用</w:t>
      </w:r>
      <w:bookmarkEnd w:id="70"/>
      <w:bookmarkEnd w:id="71"/>
      <w:bookmarkEnd w:id="72"/>
      <w:bookmarkEnd w:id="73"/>
    </w:p>
    <w:p w14:paraId="441BB0E6">
      <w:pPr>
        <w:pStyle w:val="3"/>
        <w:numPr>
          <w:ilvl w:val="0"/>
          <w:numId w:val="5"/>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76" w:name="_Toc185189017"/>
      <w:bookmarkStart w:id="77" w:name="_Toc25612"/>
      <w:bookmarkStart w:id="78" w:name="_Toc176945805"/>
      <w:bookmarkStart w:id="79" w:name="_Toc161582237"/>
      <w:r>
        <w:rPr>
          <w:rFonts w:hint="eastAsia" w:ascii="宋体" w:hAnsi="宋体" w:eastAsia="宋体" w:cs="宋体"/>
          <w:b w:val="0"/>
          <w:bCs w:val="0"/>
          <w:color w:val="000000" w:themeColor="text1"/>
        </w:rPr>
        <w:t>生态安全格局</w:t>
      </w:r>
      <w:bookmarkEnd w:id="76"/>
      <w:bookmarkEnd w:id="77"/>
      <w:bookmarkEnd w:id="78"/>
      <w:bookmarkEnd w:id="79"/>
    </w:p>
    <w:p w14:paraId="45A3AD36">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空间格局</w:t>
      </w:r>
    </w:p>
    <w:p w14:paraId="1E68E66B">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牢固树立和践行“绿水青山就是金山银山”的理念，统筹水资源、湿地、森林、矿产等自然资源要素保护与利用，</w:t>
      </w:r>
      <w:r>
        <w:rPr>
          <w:rFonts w:hint="eastAsia" w:ascii="宋体" w:hAnsi="宋体" w:eastAsia="宋体" w:cs="宋体"/>
          <w:color w:val="000000" w:themeColor="text1"/>
          <w:sz w:val="32"/>
          <w:szCs w:val="32"/>
          <w:u w:val="none"/>
        </w:rPr>
        <w:t>构建</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一圈两区、河荡纵横、圩田环绕、城绿相融</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的市域生态安全保护格局，塑造山水相依、湖美水清的生态空间。</w:t>
      </w:r>
    </w:p>
    <w:p w14:paraId="737FE2E8">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协同推进太湖生态圈保护。</w:t>
      </w:r>
      <w:r>
        <w:rPr>
          <w:rFonts w:hint="eastAsia" w:ascii="宋体" w:hAnsi="宋体" w:eastAsia="宋体" w:cs="宋体"/>
          <w:color w:val="000000" w:themeColor="text1"/>
          <w:sz w:val="32"/>
          <w:szCs w:val="32"/>
        </w:rPr>
        <w:t>深化全流域协同治理，推进骨干水网建设，提升流域水资源综合承载能力。协同开展太湖地区生态修复与环境治理，积极开展宜兴市、滨湖区、新吴区等地区生态环境跨界协同保护与生态保护补偿。持续改善太湖水环境质量，确保饮用水安全，不断提升生态环境治理现代化水平，提高流域防洪安全保障与水资源配置能力。</w:t>
      </w:r>
    </w:p>
    <w:p w14:paraId="546205C5">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高质量谋划江阴长江生态安全示范区建设。</w:t>
      </w:r>
      <w:r>
        <w:rPr>
          <w:rFonts w:hint="eastAsia" w:ascii="宋体" w:hAnsi="宋体" w:eastAsia="宋体" w:cs="宋体"/>
          <w:color w:val="000000" w:themeColor="text1"/>
          <w:sz w:val="32"/>
          <w:szCs w:val="32"/>
        </w:rPr>
        <w:t>强化长江（江阴段）岸线管控，严禁在长</w:t>
      </w:r>
      <w:r>
        <w:rPr>
          <w:rFonts w:hint="eastAsia" w:ascii="宋体" w:hAnsi="宋体" w:eastAsia="宋体" w:cs="宋体"/>
          <w:sz w:val="32"/>
          <w:szCs w:val="32"/>
        </w:rPr>
        <w:t>江干支流</w:t>
      </w:r>
      <w:r>
        <w:rPr>
          <w:rFonts w:hint="eastAsia" w:ascii="宋体" w:hAnsi="宋体" w:eastAsia="宋体" w:cs="宋体"/>
          <w:sz w:val="32"/>
          <w:szCs w:val="32"/>
          <w:lang w:val="en"/>
        </w:rPr>
        <w:t>一公里</w:t>
      </w:r>
      <w:r>
        <w:rPr>
          <w:rFonts w:hint="eastAsia" w:ascii="宋体" w:hAnsi="宋体" w:eastAsia="宋体" w:cs="宋体"/>
          <w:sz w:val="32"/>
          <w:szCs w:val="32"/>
        </w:rPr>
        <w:t>范围</w:t>
      </w:r>
      <w:r>
        <w:rPr>
          <w:rFonts w:hint="eastAsia" w:ascii="宋体" w:hAnsi="宋体" w:eastAsia="宋体" w:cs="宋体"/>
          <w:color w:val="000000" w:themeColor="text1"/>
          <w:sz w:val="32"/>
          <w:szCs w:val="32"/>
        </w:rPr>
        <w:t>内新建扩建化工园区和化工项目，持续优化沿江生产、生活、生态空间，增加生态岸线比例。有序推进长江生态环境修复和综合整治，推进滨江、滨水湿地和生态廊道建设，提升江阴市沿江地区生态系统质量和稳定性。</w:t>
      </w:r>
    </w:p>
    <w:p w14:paraId="00C61D22">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提升宜兴生态保护引领区治理水平。</w:t>
      </w:r>
      <w:r>
        <w:rPr>
          <w:rFonts w:hint="eastAsia" w:ascii="宋体" w:hAnsi="宋体" w:eastAsia="宋体" w:cs="宋体"/>
          <w:color w:val="000000" w:themeColor="text1"/>
          <w:sz w:val="32"/>
          <w:szCs w:val="32"/>
        </w:rPr>
        <w:t>构建宜南山区生态涵养屏障、湖荡生态湿地保护屏障和环太湖缓冲带生态屏障。严控丘陵山区开发强度，制定建设项目准入清单，强化建设用地用途管制，禁止不符合丘陵山区功能定位的开发活动。加快产业绿色转型，探索生态环境保护与经济社会发展相协调的新途径。</w:t>
      </w:r>
    </w:p>
    <w:p w14:paraId="7169378A">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构建河荡纵横、水岸联动的生态网络。</w:t>
      </w:r>
      <w:r>
        <w:rPr>
          <w:rFonts w:hint="eastAsia" w:ascii="宋体" w:hAnsi="宋体" w:eastAsia="宋体" w:cs="宋体"/>
          <w:color w:val="000000" w:themeColor="text1"/>
          <w:sz w:val="32"/>
          <w:szCs w:val="32"/>
        </w:rPr>
        <w:t>以白屈港、锡澄运河、直湖港、北溪河、南溪河等骨干河道为重点，在保障防洪安全的前提下，统筹推进清水廊道网络体系建设。以长广溪湿地、大溪港湿地、梁鸿湿地等重要自然保护地和湖荡为节点，串联清水廊道和水岸绿廊，形成河湖互通的生态网络。</w:t>
      </w:r>
    </w:p>
    <w:p w14:paraId="3A5026D2">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打造圩田环绕、城绿相融的城乡高品质生态景观。</w:t>
      </w:r>
      <w:r>
        <w:rPr>
          <w:rFonts w:hint="eastAsia" w:ascii="宋体" w:hAnsi="宋体" w:eastAsia="宋体" w:cs="宋体"/>
          <w:color w:val="000000" w:themeColor="text1"/>
          <w:sz w:val="32"/>
          <w:szCs w:val="32"/>
        </w:rPr>
        <w:t>尊重乡村地区原有水系肌理和农田布局形态，形成有机融合的蓝绿空间和圩田生态系统，打造体现江南水乡特色的乡村生态景观。</w:t>
      </w:r>
    </w:p>
    <w:p w14:paraId="7C777A70">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生态空间管控区域</w:t>
      </w:r>
    </w:p>
    <w:p w14:paraId="7FE4B8A5">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生态空间管控区域是生态空间保护区域的重要组成部分，应严格按照江苏省相关管控要求，加强与国土空间规划衔接，做好生态空间管控区域的优化调整工作。</w:t>
      </w:r>
    </w:p>
    <w:p w14:paraId="17700DC1">
      <w:pPr>
        <w:pStyle w:val="3"/>
        <w:numPr>
          <w:ilvl w:val="0"/>
          <w:numId w:val="5"/>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80" w:name="_Toc185189018"/>
      <w:bookmarkStart w:id="81" w:name="_Toc161582238"/>
      <w:bookmarkStart w:id="82" w:name="_Toc176945806"/>
      <w:bookmarkStart w:id="83" w:name="_Toc3044"/>
      <w:r>
        <w:rPr>
          <w:rFonts w:hint="eastAsia" w:ascii="宋体" w:hAnsi="宋体" w:eastAsia="宋体" w:cs="宋体"/>
          <w:b w:val="0"/>
          <w:bCs w:val="0"/>
          <w:color w:val="000000" w:themeColor="text1"/>
        </w:rPr>
        <w:t>自然资源保护与利用</w:t>
      </w:r>
      <w:bookmarkEnd w:id="80"/>
      <w:bookmarkEnd w:id="81"/>
      <w:bookmarkEnd w:id="82"/>
      <w:bookmarkEnd w:id="83"/>
    </w:p>
    <w:p w14:paraId="5BA9887C">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水资源保护与利用</w:t>
      </w:r>
    </w:p>
    <w:p w14:paraId="57B67052">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贯彻落实“以水定城、以水定地、以水定人、以水定产”原则，坚持节水优先，执行最严格水资源管理制度，提升水资源承载能力，加强重要河湖保护，逐步降低每万元地区生产总值用水量。</w:t>
      </w:r>
    </w:p>
    <w:p w14:paraId="63DCAD40">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维护河湖岸线空间完整、功能完好和资源安全，严控岸线开发利用强度，优化岸线功能布局。统筹全市水资源配置，加强长江、太湖水源地保护力度，优化水源地布局，积极推进沿江、沿湖区域供水工程建设。实施望虞河拓浚工程，支撑流域引江济太格局构建。结合锡澄运河整治工程、锡澄片骨干河网畅流活水工程等综合整治项目，构筑市域一体、畅引畅排、集约高效、调度精准的水网格局。</w:t>
      </w:r>
    </w:p>
    <w:p w14:paraId="1BC06A8A">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优化水资源利用结构，实施供水、用水、污水处理与再生利用等各环节的精准节水策略，促进水资源节约集约安全利用。提升水资源治理水平，强化水安全、水资源、水环境、水生态统筹，依托重点水利工程项目，补齐水利基础设施和水生态环境建设短板。</w:t>
      </w:r>
    </w:p>
    <w:p w14:paraId="59A8A2AD">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湿地资源保护与利用</w:t>
      </w:r>
    </w:p>
    <w:p w14:paraId="67EBBA95">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全面提升湿地生态功能，充分发挥湿地生态、经济和社会效益。加强湿地资源全面保护。建立以湿地公园、湿地保护小区为主，其他湿地保护形式为辅的湿地分级保护与管理体系。开展水质净化及流域内湿地综合环境治理，丰富物种多样性，维护生态安全。明确湿地修复责任主体，增强全市湿地生态系统的自然性、完整性和稳定性。加强城镇地区小微湿地的综合保护和合理利用，不得擅自将湿地转为城市绿地，提升湿地保护水平和生态功能。</w:t>
      </w:r>
    </w:p>
    <w:p w14:paraId="7C242DA4">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森林资源保护与利用</w:t>
      </w:r>
    </w:p>
    <w:p w14:paraId="084AAFFF">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加强森林抚育管护与林业生态建设，通过植树造林和抚育改造，积极补充林地，提升森林质量。持续推进国土绿化，统筹安排造林绿化空间和位置。加强江阴市中部丘陵、宜兴市中部、滨湖区沿湖沿山、锡山区低山丘陵、惠山区阳山镇等区域的林地建设，实现森林资源数量和质量稳步提升。</w:t>
      </w:r>
    </w:p>
    <w:p w14:paraId="2A30F5CD">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严格林地用途管制，确保林地主要用于林业发展和生态建设。合理适度保障除国家重大项目外的其他能源类、经营类、旅游类、林下经济或森林康养等项目用地，并依法依规办理用地手续，不得擅自将林地转为城市绿地。强化公益林保护，严格执行限额采伐和凭证采伐制度，全面停止天然林商业性采伐，不得将天然林改造为人工林，不得擅自将公益林改造为商品林。巩固提升生态系统碳汇能力，加强林业有害生物防治，保护古树名木及其自然环境。</w:t>
      </w:r>
    </w:p>
    <w:p w14:paraId="59DCFCEF">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矿产资源保护与利用</w:t>
      </w:r>
    </w:p>
    <w:p w14:paraId="5DE577B6">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全市共划定</w:t>
      </w:r>
      <w:r>
        <w:rPr>
          <w:rFonts w:hint="eastAsia" w:ascii="宋体" w:hAnsi="宋体" w:eastAsia="宋体" w:cs="宋体"/>
          <w:color w:val="000000" w:themeColor="text1"/>
          <w:sz w:val="32"/>
          <w:szCs w:val="32"/>
        </w:rPr>
        <w:t>15</w:t>
      </w:r>
      <w:r>
        <w:rPr>
          <w:rFonts w:hint="eastAsia" w:ascii="宋体" w:hAnsi="宋体" w:eastAsia="宋体" w:cs="宋体"/>
          <w:color w:val="000000" w:themeColor="text1"/>
          <w:sz w:val="32"/>
          <w:szCs w:val="32"/>
        </w:rPr>
        <w:t>个开山采石禁止开采区（带），划定</w:t>
      </w:r>
      <w:r>
        <w:rPr>
          <w:rFonts w:hint="eastAsia" w:ascii="宋体" w:hAnsi="宋体" w:eastAsia="宋体" w:cs="宋体"/>
          <w:color w:val="000000" w:themeColor="text1"/>
          <w:sz w:val="32"/>
          <w:szCs w:val="32"/>
        </w:rPr>
        <w:t>1</w:t>
      </w:r>
      <w:r>
        <w:rPr>
          <w:rFonts w:hint="eastAsia" w:ascii="宋体" w:hAnsi="宋体" w:eastAsia="宋体" w:cs="宋体"/>
          <w:color w:val="000000" w:themeColor="text1"/>
          <w:sz w:val="32"/>
          <w:szCs w:val="32"/>
        </w:rPr>
        <w:t>个重点开采区，为宜兴市新芳水泥用灰岩，划定</w:t>
      </w:r>
      <w:r>
        <w:rPr>
          <w:rFonts w:hint="eastAsia" w:ascii="宋体" w:hAnsi="宋体" w:eastAsia="宋体" w:cs="宋体"/>
          <w:color w:val="000000" w:themeColor="text1"/>
          <w:sz w:val="32"/>
          <w:szCs w:val="32"/>
        </w:rPr>
        <w:t>4</w:t>
      </w:r>
      <w:r>
        <w:rPr>
          <w:rFonts w:hint="eastAsia" w:ascii="宋体" w:hAnsi="宋体" w:eastAsia="宋体" w:cs="宋体"/>
          <w:color w:val="000000" w:themeColor="text1"/>
          <w:sz w:val="32"/>
          <w:szCs w:val="32"/>
        </w:rPr>
        <w:t>个开采规划区块，为</w:t>
      </w:r>
      <w:r>
        <w:rPr>
          <w:rFonts w:hint="eastAsia" w:ascii="宋体" w:hAnsi="宋体" w:eastAsia="宋体" w:cs="宋体"/>
          <w:color w:val="000000" w:themeColor="text1"/>
          <w:sz w:val="32"/>
          <w:szCs w:val="32"/>
        </w:rPr>
        <w:t>1</w:t>
      </w:r>
      <w:r>
        <w:rPr>
          <w:rFonts w:hint="eastAsia" w:ascii="宋体" w:hAnsi="宋体" w:eastAsia="宋体" w:cs="宋体"/>
          <w:color w:val="000000" w:themeColor="text1"/>
          <w:sz w:val="32"/>
          <w:szCs w:val="32"/>
        </w:rPr>
        <w:t>个水泥用灰岩规划区块、</w:t>
      </w:r>
      <w:r>
        <w:rPr>
          <w:rFonts w:hint="eastAsia" w:ascii="宋体" w:hAnsi="宋体" w:eastAsia="宋体" w:cs="宋体"/>
          <w:color w:val="000000" w:themeColor="text1"/>
          <w:sz w:val="32"/>
          <w:szCs w:val="32"/>
        </w:rPr>
        <w:t>1</w:t>
      </w:r>
      <w:r>
        <w:rPr>
          <w:rFonts w:hint="eastAsia" w:ascii="宋体" w:hAnsi="宋体" w:eastAsia="宋体" w:cs="宋体"/>
          <w:color w:val="000000" w:themeColor="text1"/>
          <w:sz w:val="32"/>
          <w:szCs w:val="32"/>
        </w:rPr>
        <w:t>个陶瓷土规划区块和</w:t>
      </w:r>
      <w:r>
        <w:rPr>
          <w:rFonts w:hint="eastAsia" w:ascii="宋体" w:hAnsi="宋体" w:eastAsia="宋体" w:cs="宋体"/>
          <w:color w:val="000000" w:themeColor="text1"/>
          <w:sz w:val="32"/>
          <w:szCs w:val="32"/>
        </w:rPr>
        <w:t>2</w:t>
      </w:r>
      <w:r>
        <w:rPr>
          <w:rFonts w:hint="eastAsia" w:ascii="宋体" w:hAnsi="宋体" w:eastAsia="宋体" w:cs="宋体"/>
          <w:color w:val="000000" w:themeColor="text1"/>
          <w:sz w:val="32"/>
          <w:szCs w:val="32"/>
        </w:rPr>
        <w:t>个地热规划区块。到</w:t>
      </w:r>
      <w:r>
        <w:rPr>
          <w:rFonts w:hint="eastAsia" w:ascii="宋体" w:hAnsi="宋体" w:eastAsia="宋体" w:cs="宋体"/>
          <w:color w:val="000000" w:themeColor="text1"/>
          <w:sz w:val="32"/>
          <w:szCs w:val="32"/>
        </w:rPr>
        <w:t>2035</w:t>
      </w:r>
      <w:r>
        <w:rPr>
          <w:rFonts w:hint="eastAsia" w:ascii="宋体" w:hAnsi="宋体" w:eastAsia="宋体" w:cs="宋体"/>
          <w:color w:val="000000" w:themeColor="text1"/>
          <w:sz w:val="32"/>
          <w:szCs w:val="32"/>
        </w:rPr>
        <w:t>年，地质找矿取得新进展，矿业空间布局更加科学，矿山规模结构更加合理，资源供给保障能力更加稳定。</w:t>
      </w:r>
    </w:p>
    <w:p w14:paraId="15BC3A0C">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自然保护地</w:t>
      </w:r>
    </w:p>
    <w:p w14:paraId="48B06E79">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构建以自然保护区和自然公园为主的自然保护地体系，统筹生态保育、科普与游憩等功能。</w:t>
      </w:r>
      <w:r>
        <w:rPr>
          <w:rFonts w:hint="eastAsia" w:ascii="宋体" w:hAnsi="宋体" w:eastAsia="宋体" w:cs="宋体"/>
          <w:color w:val="000000" w:themeColor="text1"/>
          <w:sz w:val="32"/>
          <w:szCs w:val="32"/>
          <w:u w:val="none"/>
        </w:rPr>
        <w:t>全市共规划自然保护地</w:t>
      </w:r>
      <w:r>
        <w:rPr>
          <w:rFonts w:hint="eastAsia" w:ascii="宋体" w:hAnsi="宋体" w:eastAsia="宋体" w:cs="宋体"/>
          <w:color w:val="000000" w:themeColor="text1"/>
          <w:sz w:val="32"/>
          <w:szCs w:val="32"/>
          <w:u w:val="none"/>
        </w:rPr>
        <w:t>11</w:t>
      </w:r>
      <w:r>
        <w:rPr>
          <w:rFonts w:hint="eastAsia" w:ascii="宋体" w:hAnsi="宋体" w:eastAsia="宋体" w:cs="宋体"/>
          <w:color w:val="000000" w:themeColor="text1"/>
          <w:sz w:val="32"/>
          <w:szCs w:val="32"/>
          <w:u w:val="none"/>
        </w:rPr>
        <w:t>处，其中省级自然保护区</w:t>
      </w:r>
      <w:r>
        <w:rPr>
          <w:rFonts w:hint="eastAsia" w:ascii="宋体" w:hAnsi="宋体" w:eastAsia="宋体" w:cs="宋体"/>
          <w:color w:val="000000" w:themeColor="text1"/>
          <w:sz w:val="32"/>
          <w:szCs w:val="32"/>
          <w:u w:val="none"/>
        </w:rPr>
        <w:t>1</w:t>
      </w:r>
      <w:r>
        <w:rPr>
          <w:rFonts w:hint="eastAsia" w:ascii="宋体" w:hAnsi="宋体" w:eastAsia="宋体" w:cs="宋体"/>
          <w:color w:val="000000" w:themeColor="text1"/>
          <w:sz w:val="32"/>
          <w:szCs w:val="32"/>
          <w:u w:val="none"/>
        </w:rPr>
        <w:t>处，自然公园</w:t>
      </w:r>
      <w:r>
        <w:rPr>
          <w:rFonts w:hint="eastAsia" w:ascii="宋体" w:hAnsi="宋体" w:eastAsia="宋体" w:cs="宋体"/>
          <w:color w:val="000000" w:themeColor="text1"/>
          <w:sz w:val="32"/>
          <w:szCs w:val="32"/>
          <w:u w:val="none"/>
        </w:rPr>
        <w:t>10</w:t>
      </w:r>
      <w:r>
        <w:rPr>
          <w:rFonts w:hint="eastAsia" w:ascii="宋体" w:hAnsi="宋体" w:eastAsia="宋体" w:cs="宋体"/>
          <w:color w:val="000000" w:themeColor="text1"/>
          <w:sz w:val="32"/>
          <w:szCs w:val="32"/>
          <w:u w:val="none"/>
        </w:rPr>
        <w:t>处。自然公园包括</w:t>
      </w:r>
      <w:r>
        <w:rPr>
          <w:rFonts w:hint="eastAsia" w:ascii="宋体" w:hAnsi="宋体" w:eastAsia="宋体" w:cs="宋体"/>
          <w:color w:val="000000" w:themeColor="text1"/>
          <w:sz w:val="32"/>
          <w:szCs w:val="32"/>
          <w:u w:val="none"/>
        </w:rPr>
        <w:t>1</w:t>
      </w:r>
      <w:r>
        <w:rPr>
          <w:rFonts w:hint="eastAsia" w:ascii="宋体" w:hAnsi="宋体" w:eastAsia="宋体" w:cs="宋体"/>
          <w:color w:val="000000" w:themeColor="text1"/>
          <w:sz w:val="32"/>
          <w:szCs w:val="32"/>
          <w:u w:val="none"/>
        </w:rPr>
        <w:t>个风景名胜区、</w:t>
      </w:r>
      <w:r>
        <w:rPr>
          <w:rFonts w:hint="eastAsia" w:ascii="宋体" w:hAnsi="宋体" w:eastAsia="宋体" w:cs="宋体"/>
          <w:color w:val="000000" w:themeColor="text1"/>
          <w:sz w:val="32"/>
          <w:szCs w:val="32"/>
          <w:u w:val="none"/>
        </w:rPr>
        <w:t>1</w:t>
      </w:r>
      <w:r>
        <w:rPr>
          <w:rFonts w:hint="eastAsia" w:ascii="宋体" w:hAnsi="宋体" w:eastAsia="宋体" w:cs="宋体"/>
          <w:color w:val="000000" w:themeColor="text1"/>
          <w:sz w:val="32"/>
          <w:szCs w:val="32"/>
          <w:u w:val="none"/>
        </w:rPr>
        <w:t>个地质公园、</w:t>
      </w:r>
      <w:r>
        <w:rPr>
          <w:rFonts w:hint="eastAsia" w:ascii="宋体" w:hAnsi="宋体" w:eastAsia="宋体" w:cs="宋体"/>
          <w:color w:val="000000" w:themeColor="text1"/>
          <w:sz w:val="32"/>
          <w:szCs w:val="32"/>
          <w:u w:val="none"/>
        </w:rPr>
        <w:t>3</w:t>
      </w:r>
      <w:r>
        <w:rPr>
          <w:rFonts w:hint="eastAsia" w:ascii="宋体" w:hAnsi="宋体" w:eastAsia="宋体" w:cs="宋体"/>
          <w:color w:val="000000" w:themeColor="text1"/>
          <w:sz w:val="32"/>
          <w:szCs w:val="32"/>
          <w:u w:val="none"/>
        </w:rPr>
        <w:t>个森林公园和</w:t>
      </w:r>
      <w:r>
        <w:rPr>
          <w:rFonts w:hint="eastAsia" w:ascii="宋体" w:hAnsi="宋体" w:eastAsia="宋体" w:cs="宋体"/>
          <w:color w:val="000000" w:themeColor="text1"/>
          <w:sz w:val="32"/>
          <w:szCs w:val="32"/>
          <w:u w:val="none"/>
        </w:rPr>
        <w:t>5</w:t>
      </w:r>
      <w:r>
        <w:rPr>
          <w:rFonts w:hint="eastAsia" w:ascii="宋体" w:hAnsi="宋体" w:eastAsia="宋体" w:cs="宋体"/>
          <w:color w:val="000000" w:themeColor="text1"/>
          <w:sz w:val="32"/>
          <w:szCs w:val="32"/>
          <w:u w:val="none"/>
        </w:rPr>
        <w:t>个湿地公园。自然保护地总面积为</w:t>
      </w:r>
      <w:r>
        <w:rPr>
          <w:rFonts w:hint="eastAsia" w:ascii="宋体" w:hAnsi="宋体" w:eastAsia="宋体" w:cs="宋体"/>
          <w:color w:val="000000" w:themeColor="text1"/>
          <w:sz w:val="32"/>
          <w:szCs w:val="32"/>
          <w:u w:val="none"/>
        </w:rPr>
        <w:t>657</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26</w:t>
      </w:r>
      <w:r>
        <w:rPr>
          <w:rFonts w:hint="eastAsia" w:ascii="宋体" w:hAnsi="宋体" w:eastAsia="宋体" w:cs="宋体"/>
          <w:color w:val="000000" w:themeColor="text1"/>
          <w:sz w:val="32"/>
          <w:szCs w:val="32"/>
          <w:u w:val="none"/>
        </w:rPr>
        <w:t>平方千米。</w:t>
      </w:r>
      <w:r>
        <w:rPr>
          <w:rFonts w:hint="eastAsia" w:ascii="宋体" w:hAnsi="宋体" w:eastAsia="宋体" w:cs="宋体"/>
          <w:color w:val="000000" w:themeColor="text1"/>
          <w:sz w:val="32"/>
          <w:szCs w:val="32"/>
        </w:rPr>
        <w:t>自然保护地依法依规实行分区管控。</w:t>
      </w:r>
    </w:p>
    <w:p w14:paraId="282A6593">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生物多样性保护</w:t>
      </w:r>
    </w:p>
    <w:p w14:paraId="3D92FC6C">
      <w:pPr>
        <w:spacing w:line="600" w:lineRule="exact"/>
        <w:ind w:firstLine="640" w:firstLineChars="200"/>
        <w:rPr>
          <w:rFonts w:hint="eastAsia" w:ascii="宋体" w:hAnsi="宋体" w:eastAsia="宋体" w:cs="宋体"/>
          <w:color w:val="000000" w:themeColor="text1"/>
          <w:kern w:val="0"/>
          <w:sz w:val="32"/>
          <w:szCs w:val="32"/>
        </w:rPr>
      </w:pPr>
      <w:r>
        <w:rPr>
          <w:rFonts w:hint="eastAsia" w:ascii="宋体" w:hAnsi="宋体" w:eastAsia="宋体" w:cs="宋体"/>
          <w:color w:val="000000" w:themeColor="text1"/>
          <w:sz w:val="32"/>
          <w:szCs w:val="32"/>
        </w:rPr>
        <w:t>开展全市野生动植物资源调查，对重要野生动物栖息地进行质量评价和保护营造。加强水生生物资源养护，科学规范水生生物增殖放流，加强国家级水产种质资源保护区建设和管理，保护产卵场、索饵场、越冬场和洄游通道，强化珍贵濒危水生野生动物及其栖息地保护。做好自然保护地内的野生动植物保育，指导开展生态体验、自然教育等活动。</w:t>
      </w:r>
      <w:r>
        <w:rPr>
          <w:rFonts w:hint="eastAsia" w:ascii="宋体" w:hAnsi="宋体" w:eastAsia="宋体" w:cs="宋体"/>
          <w:color w:val="000000" w:themeColor="text1"/>
          <w:kern w:val="0"/>
          <w:sz w:val="32"/>
          <w:szCs w:val="32"/>
        </w:rPr>
        <w:t>依据生态系统整体性、物种栖息地共生性特点，重点打造</w:t>
      </w:r>
      <w:r>
        <w:rPr>
          <w:rFonts w:hint="eastAsia" w:ascii="宋体" w:hAnsi="宋体" w:eastAsia="宋体" w:cs="宋体"/>
          <w:color w:val="000000" w:themeColor="text1"/>
          <w:kern w:val="0"/>
          <w:sz w:val="32"/>
          <w:szCs w:val="32"/>
        </w:rPr>
        <w:t>4</w:t>
      </w:r>
      <w:r>
        <w:rPr>
          <w:rFonts w:hint="eastAsia" w:ascii="宋体" w:hAnsi="宋体" w:eastAsia="宋体" w:cs="宋体"/>
          <w:color w:val="000000" w:themeColor="text1"/>
          <w:kern w:val="0"/>
          <w:sz w:val="32"/>
          <w:szCs w:val="32"/>
        </w:rPr>
        <w:t>处生物多样性保护空间。</w:t>
      </w:r>
    </w:p>
    <w:p w14:paraId="58DA3BEF">
      <w:pPr>
        <w:widowControl/>
        <w:jc w:val="left"/>
        <w:rPr>
          <w:rFonts w:hint="eastAsia" w:ascii="宋体" w:hAnsi="宋体" w:eastAsia="宋体" w:cs="宋体"/>
          <w:color w:val="000000" w:themeColor="text1"/>
          <w:kern w:val="0"/>
          <w:sz w:val="32"/>
          <w:szCs w:val="32"/>
        </w:rPr>
      </w:pPr>
      <w:r>
        <w:rPr>
          <w:rFonts w:hint="eastAsia" w:ascii="宋体" w:hAnsi="宋体" w:eastAsia="宋体" w:cs="宋体"/>
          <w:color w:val="000000" w:themeColor="text1"/>
          <w:kern w:val="0"/>
          <w:sz w:val="32"/>
          <w:szCs w:val="32"/>
        </w:rPr>
        <w:br w:type="page"/>
      </w:r>
    </w:p>
    <w:p w14:paraId="230295B5">
      <w:pPr>
        <w:pStyle w:val="3"/>
        <w:numPr>
          <w:ilvl w:val="0"/>
          <w:numId w:val="5"/>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84" w:name="_Toc176945807"/>
      <w:bookmarkStart w:id="85" w:name="_Toc161582239"/>
      <w:bookmarkStart w:id="86" w:name="_Toc32084"/>
      <w:bookmarkStart w:id="87" w:name="_Toc185189019"/>
      <w:r>
        <w:rPr>
          <w:rFonts w:hint="eastAsia" w:ascii="宋体" w:hAnsi="宋体" w:eastAsia="宋体" w:cs="宋体"/>
          <w:b w:val="0"/>
          <w:bCs w:val="0"/>
          <w:color w:val="000000" w:themeColor="text1"/>
        </w:rPr>
        <w:t>生态修复</w:t>
      </w:r>
      <w:bookmarkEnd w:id="84"/>
      <w:bookmarkEnd w:id="85"/>
      <w:bookmarkEnd w:id="86"/>
      <w:bookmarkEnd w:id="87"/>
    </w:p>
    <w:p w14:paraId="71D29113">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生态修复分区</w:t>
      </w:r>
    </w:p>
    <w:p w14:paraId="77A211CB">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结合生态本底及国土空间开发保护格局，突出自然地理和生态系统的完整性、连通性，全市划分</w:t>
      </w:r>
      <w:r>
        <w:rPr>
          <w:rFonts w:hint="eastAsia" w:ascii="宋体" w:hAnsi="宋体" w:eastAsia="宋体" w:cs="宋体"/>
          <w:color w:val="000000" w:themeColor="text1"/>
          <w:sz w:val="32"/>
          <w:szCs w:val="32"/>
        </w:rPr>
        <w:t>4</w:t>
      </w:r>
      <w:r>
        <w:rPr>
          <w:rFonts w:hint="eastAsia" w:ascii="宋体" w:hAnsi="宋体" w:eastAsia="宋体" w:cs="宋体"/>
          <w:color w:val="000000" w:themeColor="text1"/>
          <w:sz w:val="32"/>
          <w:szCs w:val="32"/>
        </w:rPr>
        <w:t>类生态修复分区。</w:t>
      </w:r>
    </w:p>
    <w:p w14:paraId="34254BCB">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宜南丘陵生态涵养保护区。</w:t>
      </w:r>
      <w:r>
        <w:rPr>
          <w:rFonts w:hint="eastAsia" w:ascii="宋体" w:hAnsi="宋体" w:eastAsia="宋体" w:cs="宋体"/>
          <w:color w:val="000000" w:themeColor="text1"/>
          <w:sz w:val="32"/>
          <w:szCs w:val="32"/>
        </w:rPr>
        <w:t>加强丘陵岗地水土保持林的管护和培育，构建矿区与周边地区的生态走廊，建立生物多样性保护网络。实施矿山环境复绿整治与地质环境治理，重点提升区域水土保持和水源涵养功效，发挥丘陵山区的生态屏障功能。</w:t>
      </w:r>
    </w:p>
    <w:p w14:paraId="6CE1CB51">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河湖水生态保护修复区。</w:t>
      </w:r>
      <w:r>
        <w:rPr>
          <w:rFonts w:hint="eastAsia" w:ascii="宋体" w:hAnsi="宋体" w:eastAsia="宋体" w:cs="宋体"/>
          <w:bCs/>
          <w:color w:val="000000" w:themeColor="text1"/>
          <w:sz w:val="32"/>
          <w:szCs w:val="32"/>
        </w:rPr>
        <w:t>坚持河湖综合治理与开发利用相结合，改善河湖水生态环境，提升水生态功能，实现河畅水清、岸绿景美。</w:t>
      </w:r>
      <w:r>
        <w:rPr>
          <w:rFonts w:hint="eastAsia" w:ascii="宋体" w:hAnsi="宋体" w:eastAsia="宋体" w:cs="宋体"/>
          <w:color w:val="000000" w:themeColor="text1"/>
          <w:sz w:val="32"/>
          <w:szCs w:val="32"/>
        </w:rPr>
        <w:t>长江水生态保护修复区主要开展水系保护、岸线修复，协同推动长江干流、主要支流及重点湖库、湿地的整体性保护与修复，促进沿线河湖、湿地、林草地生态系统自然恢复。太湖湿地生态保护修复区主要开展控源截污、生态修复，与周边城市协同推进太湖生态环境治理。</w:t>
      </w:r>
      <w:r>
        <w:rPr>
          <w:rFonts w:hint="eastAsia" w:ascii="宋体" w:hAnsi="宋体" w:eastAsia="宋体" w:cs="宋体"/>
          <w:color w:val="000000" w:themeColor="text1"/>
          <w:sz w:val="32"/>
          <w:szCs w:val="32"/>
        </w:rPr>
        <w:t>滆</w:t>
      </w:r>
      <w:r>
        <w:rPr>
          <w:rFonts w:hint="eastAsia" w:ascii="宋体" w:hAnsi="宋体" w:eastAsia="宋体" w:cs="宋体"/>
          <w:color w:val="000000" w:themeColor="text1"/>
          <w:sz w:val="32"/>
          <w:szCs w:val="32"/>
        </w:rPr>
        <w:t>湖生态保护修复区主要开展植被恢复、污染防治和生态防护林带建设，加快实施退田退圩还湖及生态化养殖。</w:t>
      </w:r>
    </w:p>
    <w:p w14:paraId="63920390">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城镇人居环境提升区。</w:t>
      </w:r>
      <w:r>
        <w:rPr>
          <w:rFonts w:hint="eastAsia" w:ascii="宋体" w:hAnsi="宋体" w:eastAsia="宋体" w:cs="宋体"/>
          <w:color w:val="000000" w:themeColor="text1"/>
          <w:sz w:val="32"/>
          <w:szCs w:val="32"/>
        </w:rPr>
        <w:t>推进重点行业产业结构调整，严格控制高能耗产业规模。推进河流沿线水体生境自然恢复和中心城区山体治理，加强城市绿化建设，扩大公园绿地面积，营造绿色城市环境。</w:t>
      </w:r>
    </w:p>
    <w:p w14:paraId="1421EBE7">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农田综合整治区。</w:t>
      </w:r>
      <w:r>
        <w:rPr>
          <w:rFonts w:hint="eastAsia" w:ascii="宋体" w:hAnsi="宋体" w:eastAsia="宋体" w:cs="宋体"/>
          <w:color w:val="000000" w:themeColor="text1"/>
          <w:sz w:val="32"/>
          <w:szCs w:val="32"/>
        </w:rPr>
        <w:t>北部农田综合整治区主要开展土地综合整治，着重建设完善生物缓冲带、防护林网、灌溉沟渠等田间基础设施。南部农田综合整治区主要开展农田连片生态化改造，加强农业面源污染治理，推进生态农业和生态渔业建设。</w:t>
      </w:r>
    </w:p>
    <w:p w14:paraId="14BAE4E3">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生态修复重点区域</w:t>
      </w:r>
    </w:p>
    <w:p w14:paraId="108FA2CB">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统筹考虑生态功能重要性和敏感性，全市划分长江水体及岸线生态保护与修复重点区、环太湖生态保护与修复重点区、宜南丘陵生态保护与修复重点区、</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两河</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（太湖入湖河道和大运河）生态廊道保护与修复重点区、宜兴市太湖西岸国土综合整治重点区</w:t>
      </w:r>
      <w:r>
        <w:rPr>
          <w:rFonts w:hint="eastAsia" w:ascii="宋体" w:hAnsi="宋体" w:eastAsia="宋体" w:cs="宋体"/>
          <w:color w:val="000000" w:themeColor="text1"/>
          <w:sz w:val="32"/>
          <w:szCs w:val="32"/>
        </w:rPr>
        <w:t>5</w:t>
      </w:r>
      <w:r>
        <w:rPr>
          <w:rFonts w:hint="eastAsia" w:ascii="宋体" w:hAnsi="宋体" w:eastAsia="宋体" w:cs="宋体"/>
          <w:color w:val="000000" w:themeColor="text1"/>
          <w:sz w:val="32"/>
          <w:szCs w:val="32"/>
        </w:rPr>
        <w:t>处生态修复重点区域。</w:t>
      </w:r>
      <w:bookmarkEnd w:id="74"/>
      <w:bookmarkEnd w:id="75"/>
    </w:p>
    <w:p w14:paraId="38E49545">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生态修复重点工程</w:t>
      </w:r>
    </w:p>
    <w:p w14:paraId="44B72E10">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按照生态修复分区和生态修复重点区域，开展国土空间生态修复重点工程，全面提升无锡市生态系统质量，进一步发挥生态环境优势，促进经济社会发展与资源环境相协调。</w:t>
      </w:r>
    </w:p>
    <w:p w14:paraId="0783EFD2">
      <w:pPr>
        <w:spacing w:line="400" w:lineRule="exact"/>
        <w:ind w:firstLine="0" w:firstLineChars="0"/>
        <w:rPr>
          <w:rFonts w:hint="eastAsia" w:ascii="宋体" w:hAnsi="宋体" w:eastAsia="宋体" w:cs="宋体"/>
          <w:color w:val="000000" w:themeColor="text1"/>
          <w:sz w:val="32"/>
          <w:szCs w:val="32"/>
        </w:rPr>
      </w:pPr>
    </w:p>
    <w:p w14:paraId="7E4414FA">
      <w:pPr>
        <w:spacing w:line="600" w:lineRule="exact"/>
        <w:rPr>
          <w:rFonts w:hint="eastAsia" w:ascii="宋体" w:hAnsi="宋体" w:eastAsia="宋体" w:cs="宋体"/>
          <w:color w:val="000000" w:themeColor="text1"/>
          <w:sz w:val="32"/>
          <w:szCs w:val="32"/>
        </w:rPr>
        <w:sectPr>
          <w:pgSz w:w="11906" w:h="16838"/>
          <w:pgMar w:top="1440" w:right="1800" w:bottom="1440" w:left="1800" w:header="851" w:footer="992" w:gutter="0"/>
          <w:cols w:space="425" w:num="1"/>
          <w:docGrid w:type="lines" w:linePitch="312" w:charSpace="0"/>
        </w:sectPr>
      </w:pPr>
    </w:p>
    <w:p w14:paraId="5FC27514">
      <w:pPr>
        <w:pStyle w:val="2"/>
        <w:numPr>
          <w:ilvl w:val="0"/>
          <w:numId w:val="2"/>
        </w:numPr>
        <w:snapToGrid w:val="0"/>
        <w:spacing w:before="0" w:after="156" w:afterLines="50" w:line="500" w:lineRule="exact"/>
        <w:ind w:left="0" w:firstLine="0"/>
        <w:jc w:val="center"/>
        <w:rPr>
          <w:rFonts w:hint="eastAsia" w:ascii="宋体" w:hAnsi="宋体" w:eastAsia="宋体" w:cs="宋体"/>
          <w:b w:val="0"/>
          <w:color w:val="000000" w:themeColor="text1"/>
          <w:sz w:val="36"/>
          <w:szCs w:val="36"/>
        </w:rPr>
      </w:pPr>
      <w:bookmarkStart w:id="88" w:name="_Toc139397158"/>
      <w:bookmarkStart w:id="89" w:name="_Toc156410572"/>
      <w:bookmarkStart w:id="90" w:name="_Toc161582240"/>
      <w:bookmarkStart w:id="91" w:name="_Toc176945808"/>
      <w:bookmarkStart w:id="92" w:name="_Toc28685"/>
      <w:bookmarkStart w:id="93" w:name="_Toc185189020"/>
      <w:r>
        <w:rPr>
          <w:rFonts w:hint="eastAsia" w:ascii="宋体" w:hAnsi="宋体" w:eastAsia="宋体" w:cs="宋体"/>
          <w:b w:val="0"/>
          <w:color w:val="000000" w:themeColor="text1"/>
          <w:sz w:val="36"/>
          <w:szCs w:val="36"/>
        </w:rPr>
        <w:t>城镇空间</w:t>
      </w:r>
      <w:bookmarkEnd w:id="88"/>
      <w:bookmarkEnd w:id="89"/>
      <w:bookmarkEnd w:id="90"/>
      <w:r>
        <w:rPr>
          <w:rFonts w:hint="eastAsia" w:ascii="宋体" w:hAnsi="宋体" w:eastAsia="宋体" w:cs="宋体"/>
          <w:b w:val="0"/>
          <w:color w:val="000000" w:themeColor="text1"/>
          <w:sz w:val="36"/>
          <w:szCs w:val="36"/>
        </w:rPr>
        <w:t>与功能布局完善</w:t>
      </w:r>
      <w:bookmarkEnd w:id="91"/>
      <w:bookmarkEnd w:id="92"/>
      <w:bookmarkEnd w:id="93"/>
    </w:p>
    <w:p w14:paraId="38249855">
      <w:pPr>
        <w:pStyle w:val="3"/>
        <w:numPr>
          <w:ilvl w:val="0"/>
          <w:numId w:val="6"/>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94" w:name="_Toc156410573"/>
      <w:bookmarkStart w:id="95" w:name="_Toc161582241"/>
      <w:bookmarkStart w:id="96" w:name="_Toc31990"/>
      <w:bookmarkStart w:id="97" w:name="_Toc185189021"/>
      <w:bookmarkStart w:id="98" w:name="_Toc176945809"/>
      <w:bookmarkStart w:id="99" w:name="_Toc139397159"/>
      <w:r>
        <w:rPr>
          <w:rFonts w:hint="eastAsia" w:ascii="宋体" w:hAnsi="宋体" w:eastAsia="宋体" w:cs="宋体"/>
          <w:b w:val="0"/>
          <w:bCs w:val="0"/>
          <w:color w:val="000000" w:themeColor="text1"/>
        </w:rPr>
        <w:t>城镇空间格局</w:t>
      </w:r>
      <w:bookmarkEnd w:id="94"/>
      <w:bookmarkEnd w:id="95"/>
      <w:bookmarkEnd w:id="96"/>
      <w:bookmarkEnd w:id="97"/>
      <w:bookmarkEnd w:id="98"/>
      <w:bookmarkEnd w:id="99"/>
    </w:p>
    <w:p w14:paraId="46123E33">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空间结构</w:t>
      </w:r>
    </w:p>
    <w:p w14:paraId="3BCA6798">
      <w:pPr>
        <w:spacing w:line="600" w:lineRule="exact"/>
        <w:ind w:firstLine="640" w:firstLineChars="200"/>
        <w:rPr>
          <w:rFonts w:hint="eastAsia" w:ascii="宋体" w:hAnsi="宋体" w:eastAsia="宋体" w:cs="宋体"/>
          <w:color w:val="000000" w:themeColor="text1"/>
        </w:rPr>
      </w:pPr>
      <w:r>
        <w:rPr>
          <w:rFonts w:hint="eastAsia" w:ascii="宋体" w:hAnsi="宋体" w:eastAsia="宋体" w:cs="宋体"/>
          <w:color w:val="000000" w:themeColor="text1"/>
          <w:sz w:val="32"/>
          <w:szCs w:val="32"/>
        </w:rPr>
        <w:t>落实以人为本的新型城镇化战略，构建紧凑集约的城镇空间。</w:t>
      </w:r>
      <w:r>
        <w:rPr>
          <w:rFonts w:hint="eastAsia" w:ascii="宋体" w:hAnsi="宋体" w:eastAsia="宋体" w:cs="宋体"/>
          <w:color w:val="000000" w:themeColor="text1"/>
          <w:sz w:val="32"/>
          <w:szCs w:val="32"/>
          <w:u w:val="none"/>
        </w:rPr>
        <w:t>市域形成</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一轴一环三带、一体两翼两区</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的空间结构，强化市域一体化，促进城镇空间高质量发展。</w:t>
      </w:r>
    </w:p>
    <w:p w14:paraId="72FD788F">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一轴：</w:t>
      </w:r>
      <w:r>
        <w:rPr>
          <w:rFonts w:hint="eastAsia" w:ascii="宋体" w:hAnsi="宋体" w:eastAsia="宋体" w:cs="宋体"/>
          <w:color w:val="000000" w:themeColor="text1"/>
          <w:sz w:val="32"/>
          <w:szCs w:val="32"/>
        </w:rPr>
        <w:t>指太湖长江发展轴。南起太湖，北跨长江，以交通基础设施互联互通为支撑，串联</w:t>
      </w:r>
      <w:r>
        <w:rPr>
          <w:rFonts w:hint="eastAsia" w:ascii="宋体" w:hAnsi="宋体" w:eastAsia="宋体" w:cs="宋体"/>
          <w:color w:val="000000" w:themeColor="text1"/>
          <w:kern w:val="2"/>
          <w:sz w:val="32"/>
          <w:szCs w:val="32"/>
        </w:rPr>
        <w:t>太湖新城区</w:t>
      </w:r>
      <w:r>
        <w:rPr>
          <w:rFonts w:hint="eastAsia" w:ascii="宋体" w:hAnsi="宋体" w:eastAsia="宋体" w:cs="宋体"/>
          <w:color w:val="000000" w:themeColor="text1"/>
          <w:sz w:val="32"/>
          <w:szCs w:val="32"/>
        </w:rPr>
        <w:t>、梁溪城区、惠山片区、锡澄协同发展区和江阴市中心城区。推动产业协同发展、设施共建共享、生态共育共保，加强跨江融合发展，提升无锡市对苏中、苏北的辐射带动能力。</w:t>
      </w:r>
    </w:p>
    <w:p w14:paraId="541F6A89">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一环：</w:t>
      </w:r>
      <w:r>
        <w:rPr>
          <w:rFonts w:hint="eastAsia" w:ascii="宋体" w:hAnsi="宋体" w:eastAsia="宋体" w:cs="宋体"/>
          <w:color w:val="000000" w:themeColor="text1"/>
          <w:sz w:val="32"/>
          <w:szCs w:val="32"/>
        </w:rPr>
        <w:t>指太湖湾生态科创环。包括贡湖湾、梅梁湖湾、竺山湖湾，是环太湖协同保护与绿色发展的重要组成部分。以太湖生态保护为前提，以太湖湾科技创新带建设为引领，整合环湖山水文化资源，共建太湖生态创新湖区。</w:t>
      </w:r>
    </w:p>
    <w:p w14:paraId="47C7C82F">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三带：</w:t>
      </w:r>
      <w:r>
        <w:rPr>
          <w:rFonts w:hint="eastAsia" w:ascii="宋体" w:hAnsi="宋体" w:eastAsia="宋体" w:cs="宋体"/>
          <w:color w:val="000000" w:themeColor="text1"/>
          <w:sz w:val="32"/>
          <w:szCs w:val="32"/>
        </w:rPr>
        <w:t>指扬子江绿色发展带、沪宁产业创新带和宁杭生态经济带</w:t>
      </w:r>
      <w:r>
        <w:rPr>
          <w:rFonts w:hint="eastAsia" w:ascii="宋体" w:hAnsi="宋体" w:eastAsia="宋体" w:cs="宋体"/>
          <w:color w:val="000000" w:themeColor="text1"/>
          <w:sz w:val="32"/>
          <w:szCs w:val="32"/>
        </w:rPr>
        <w:t>3</w:t>
      </w:r>
      <w:r>
        <w:rPr>
          <w:rFonts w:hint="eastAsia" w:ascii="宋体" w:hAnsi="宋体" w:eastAsia="宋体" w:cs="宋体"/>
          <w:color w:val="000000" w:themeColor="text1"/>
          <w:sz w:val="32"/>
          <w:szCs w:val="32"/>
        </w:rPr>
        <w:t>条区域发展带。依托扬子江绿色发展带，提升无锡（江阴）港能级，腾退沿江低效产业空间，提高长江（江阴段）岸线利用效率和服务水平。依托沪宁产业创新带，全面强化与上海市的功能对接与经济互动，推进沿线产业园区转型升级，培育创新节点，提升城市品质。依托宁杭生态经济带，加强宜兴市与宁杭高铁沿线城市协同发展，培育壮大新兴产业，融入区域创新网络，共同促进区域休闲旅游康养协作，合力构建绿色生态发展走廊。</w:t>
      </w:r>
    </w:p>
    <w:p w14:paraId="0FADF838">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一体：</w:t>
      </w:r>
      <w:r>
        <w:rPr>
          <w:rFonts w:hint="eastAsia" w:ascii="宋体" w:hAnsi="宋体" w:eastAsia="宋体" w:cs="宋体"/>
          <w:color w:val="000000" w:themeColor="text1"/>
          <w:sz w:val="32"/>
          <w:szCs w:val="32"/>
        </w:rPr>
        <w:t>指无锡市辖区。加快融入长三角一体化发展格局，提升城市综合服务能级，强化市辖区在市域发展格局中的引领。推动梁溪城区和太湖新城区差异化发展，提高无锡市中心城区综合服务能力。促进锡山区、惠山区、滨湖区和新吴区协调发展，加快产业集聚，完善公共服务设施布局，促进产城融合。</w:t>
      </w:r>
    </w:p>
    <w:p w14:paraId="493FEBA6">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两翼：</w:t>
      </w:r>
      <w:r>
        <w:rPr>
          <w:rFonts w:hint="eastAsia" w:ascii="宋体" w:hAnsi="宋体" w:eastAsia="宋体" w:cs="宋体"/>
          <w:color w:val="000000" w:themeColor="text1"/>
          <w:sz w:val="32"/>
          <w:szCs w:val="32"/>
        </w:rPr>
        <w:t>指江阴市和宜兴市。促进江阴市、宜兴市和市辖区联动一体发展，全面增强资源配置和服务能力，成为全市集聚城市核心功能、展示现代化城市形象的支撑。</w:t>
      </w:r>
    </w:p>
    <w:p w14:paraId="6D04DD30">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两区：</w:t>
      </w:r>
      <w:r>
        <w:rPr>
          <w:rFonts w:hint="eastAsia" w:ascii="宋体" w:hAnsi="宋体" w:eastAsia="宋体" w:cs="宋体"/>
          <w:color w:val="000000" w:themeColor="text1"/>
          <w:sz w:val="32"/>
          <w:szCs w:val="32"/>
        </w:rPr>
        <w:t>指锡澄协同发展区和锡宜协同发展区。促进无锡市和江阴市、宜兴市跨界地区协同发展，锡澄协同发展区建设成为科技创新与产业发展相融合、具有较强辐射带动力的协同发展区。锡宜协同发展区建设成为展现太湖生态人文魅力和承载未来创新经济功能的协同发展区。</w:t>
      </w:r>
    </w:p>
    <w:p w14:paraId="2F5E48FF">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城镇体系</w:t>
      </w:r>
    </w:p>
    <w:p w14:paraId="261FDCB6">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规划形成</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1</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2</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N</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的市域城镇体系。</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1</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为无锡市中心城区，</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2</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为江阴市中心城区和宜兴市中心城区，</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N</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为多个镇（街道）。引导外围镇（街道）沿重要交通走廊组团式发展。</w:t>
      </w:r>
    </w:p>
    <w:p w14:paraId="0CCF44AF">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无锡市中心城区。</w:t>
      </w:r>
      <w:r>
        <w:rPr>
          <w:rFonts w:hint="eastAsia" w:ascii="宋体" w:hAnsi="宋体" w:eastAsia="宋体" w:cs="宋体"/>
          <w:color w:val="000000" w:themeColor="text1"/>
          <w:sz w:val="32"/>
          <w:szCs w:val="32"/>
        </w:rPr>
        <w:t>包括梁溪区全域，以及锡山区、惠山区、滨湖区和新吴区的部分地区。提升中心城区综合服务能力，形成功能高度复合、要素高度集聚的活力城区。</w:t>
      </w:r>
    </w:p>
    <w:p w14:paraId="12512457">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江阴市中心城区。</w:t>
      </w:r>
      <w:r>
        <w:rPr>
          <w:rFonts w:hint="eastAsia" w:ascii="宋体" w:hAnsi="宋体" w:eastAsia="宋体" w:cs="宋体"/>
          <w:color w:val="000000" w:themeColor="text1"/>
          <w:sz w:val="32"/>
          <w:szCs w:val="32"/>
        </w:rPr>
        <w:t>包括澄江街道、南闸街道、城东街道、云亭街道等组成的江阴主城，夏港街道、申港街道组成的临港副城和周庄镇、华士镇组成的澄东副城。打造具有区域辐射力的综合性服务核心，强化临港副城、澄东副城的功能支撑。</w:t>
      </w:r>
    </w:p>
    <w:p w14:paraId="180880FB">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宜兴市中心城区。</w:t>
      </w:r>
      <w:r>
        <w:rPr>
          <w:rFonts w:hint="eastAsia" w:ascii="宋体" w:hAnsi="宋体" w:eastAsia="宋体" w:cs="宋体"/>
          <w:color w:val="000000" w:themeColor="text1"/>
          <w:sz w:val="32"/>
          <w:szCs w:val="32"/>
        </w:rPr>
        <w:t>包括宜城街道、新街街道、新庄街道等组成的宜城主城和丁蜀镇组成的丁蜀副城，以宜城主城为核心，强化丁蜀副城特色发展。建设陶都科技城和培源科学城，突出主导职能差异化，彰显陶都历史文化和东方水城风貌特色。</w:t>
      </w:r>
    </w:p>
    <w:p w14:paraId="07713F2E">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重点中心镇（街道）和一般镇（街道）。</w:t>
      </w:r>
      <w:r>
        <w:rPr>
          <w:rFonts w:hint="eastAsia" w:ascii="宋体" w:hAnsi="宋体" w:eastAsia="宋体" w:cs="宋体"/>
          <w:color w:val="000000" w:themeColor="text1"/>
          <w:sz w:val="32"/>
          <w:szCs w:val="32"/>
        </w:rPr>
        <w:t>发挥镇（街道）在城乡一体化中承上启下的核心纽带作用，规划</w:t>
      </w:r>
      <w:r>
        <w:rPr>
          <w:rFonts w:hint="eastAsia" w:ascii="宋体" w:hAnsi="宋体" w:eastAsia="宋体" w:cs="宋体"/>
          <w:color w:val="000000" w:themeColor="text1"/>
          <w:sz w:val="32"/>
          <w:szCs w:val="32"/>
        </w:rPr>
        <w:t>10</w:t>
      </w:r>
      <w:r>
        <w:rPr>
          <w:rFonts w:hint="eastAsia" w:ascii="宋体" w:hAnsi="宋体" w:eastAsia="宋体" w:cs="宋体"/>
          <w:color w:val="000000" w:themeColor="text1"/>
          <w:sz w:val="32"/>
          <w:szCs w:val="32"/>
        </w:rPr>
        <w:t>个重点中心镇（街道）和</w:t>
      </w:r>
      <w:r>
        <w:rPr>
          <w:rFonts w:hint="eastAsia" w:ascii="宋体" w:hAnsi="宋体" w:eastAsia="宋体" w:cs="宋体"/>
          <w:color w:val="000000" w:themeColor="text1"/>
          <w:sz w:val="32"/>
          <w:szCs w:val="32"/>
        </w:rPr>
        <w:t>19</w:t>
      </w:r>
      <w:r>
        <w:rPr>
          <w:rFonts w:hint="eastAsia" w:ascii="宋体" w:hAnsi="宋体" w:eastAsia="宋体" w:cs="宋体"/>
          <w:color w:val="000000" w:themeColor="text1"/>
          <w:sz w:val="32"/>
          <w:szCs w:val="32"/>
        </w:rPr>
        <w:t>个一般镇（街道）。重点中心镇（街道）包括玉祁街道、前洲街道、洛社镇、东港镇、青阳镇、长泾镇、璜土镇、周铁镇、官林镇和张渚镇。强化人口集聚、综合服务和特色产业功能，突出公共交通对城镇发展的引导作用，提升对周边镇（街道）的辐射带动能力。一般镇（街道）包括锡北镇、羊尖镇、鹅湖镇、阳山镇、利港街道、月城镇、徐霞客镇、祝塘镇、顾山镇、新桥镇、和桥镇、万石镇、高塍镇、新建镇、杨巷镇、徐舍镇、湖</w:t>
      </w:r>
      <w:r>
        <w:rPr>
          <w:rFonts w:hint="eastAsia" w:ascii="宋体" w:hAnsi="宋体" w:eastAsia="宋体" w:cs="宋体"/>
          <w:color w:val="000000" w:themeColor="text1"/>
          <w:sz w:val="32"/>
          <w:szCs w:val="32"/>
        </w:rPr>
        <w:t>㳇</w:t>
      </w:r>
      <w:r>
        <w:rPr>
          <w:rFonts w:hint="eastAsia" w:ascii="宋体" w:hAnsi="宋体" w:eastAsia="宋体" w:cs="宋体"/>
          <w:color w:val="000000" w:themeColor="text1"/>
          <w:sz w:val="32"/>
          <w:szCs w:val="32"/>
        </w:rPr>
        <w:t>镇、西渚镇和太华镇。完善特色产业，建设城乡融合的宜居镇（街道），满足城乡居民的基本公共服务和就业需求。</w:t>
      </w:r>
    </w:p>
    <w:p w14:paraId="07EC7486">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城镇组团化规划引导。</w:t>
      </w:r>
      <w:r>
        <w:rPr>
          <w:rFonts w:hint="eastAsia" w:ascii="宋体" w:hAnsi="宋体" w:eastAsia="宋体" w:cs="宋体"/>
          <w:color w:val="000000" w:themeColor="text1"/>
          <w:sz w:val="32"/>
          <w:szCs w:val="32"/>
        </w:rPr>
        <w:t>推进东港</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锡北、玉祁</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前洲、长泾</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新桥</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顾山</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祝塘、青阳</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徐霞客</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月城、周铁</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万石、张渚</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湖</w:t>
      </w:r>
      <w:r>
        <w:rPr>
          <w:rFonts w:hint="eastAsia" w:ascii="宋体" w:hAnsi="宋体" w:eastAsia="宋体" w:cs="宋体"/>
          <w:color w:val="000000" w:themeColor="text1"/>
          <w:sz w:val="32"/>
          <w:szCs w:val="32"/>
        </w:rPr>
        <w:t>㳇</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西渚</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太华、徐舍</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杨巷</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新建、官林</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高塍</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和桥等组团一体化布局，实现产业互补和空间协同布局。</w:t>
      </w:r>
    </w:p>
    <w:p w14:paraId="701EFD9F">
      <w:pPr>
        <w:pStyle w:val="3"/>
        <w:numPr>
          <w:ilvl w:val="0"/>
          <w:numId w:val="6"/>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100" w:name="_Toc161582242"/>
      <w:bookmarkStart w:id="101" w:name="_Toc156410574"/>
      <w:bookmarkStart w:id="102" w:name="_Toc176945810"/>
      <w:bookmarkStart w:id="103" w:name="_Toc139397160"/>
      <w:bookmarkStart w:id="104" w:name="_Toc14443"/>
      <w:bookmarkStart w:id="105" w:name="_Toc185189022"/>
      <w:r>
        <w:rPr>
          <w:rFonts w:hint="eastAsia" w:ascii="宋体" w:hAnsi="宋体" w:eastAsia="宋体" w:cs="宋体"/>
          <w:b w:val="0"/>
          <w:bCs w:val="0"/>
          <w:color w:val="000000" w:themeColor="text1"/>
        </w:rPr>
        <w:t>创新与产业空间布局</w:t>
      </w:r>
      <w:bookmarkEnd w:id="100"/>
      <w:bookmarkEnd w:id="101"/>
      <w:bookmarkEnd w:id="102"/>
      <w:bookmarkEnd w:id="103"/>
      <w:bookmarkEnd w:id="104"/>
      <w:bookmarkEnd w:id="105"/>
    </w:p>
    <w:p w14:paraId="08089469">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现代产业布局</w:t>
      </w:r>
    </w:p>
    <w:p w14:paraId="5BA855F8">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落实全市现代产业集群要求，聚焦物联网、集成电路、生物医药、软件与信息技术服务</w:t>
      </w:r>
      <w:r>
        <w:rPr>
          <w:rFonts w:hint="eastAsia" w:ascii="宋体" w:hAnsi="宋体" w:eastAsia="宋体" w:cs="宋体"/>
          <w:color w:val="000000" w:themeColor="text1"/>
          <w:sz w:val="32"/>
          <w:szCs w:val="32"/>
        </w:rPr>
        <w:t>4</w:t>
      </w:r>
      <w:r>
        <w:rPr>
          <w:rFonts w:hint="eastAsia" w:ascii="宋体" w:hAnsi="宋体" w:eastAsia="宋体" w:cs="宋体"/>
          <w:color w:val="000000" w:themeColor="text1"/>
          <w:sz w:val="32"/>
          <w:szCs w:val="32"/>
        </w:rPr>
        <w:t>个地标产业，做大做强具有核心影响力的地标产业集群；聚焦高端装备、高端纺织服装、节能环保、新材料、新能源、汽车及零部件（含新能源汽车）</w:t>
      </w:r>
      <w:r>
        <w:rPr>
          <w:rFonts w:hint="eastAsia" w:ascii="宋体" w:hAnsi="宋体" w:eastAsia="宋体" w:cs="宋体"/>
          <w:color w:val="000000" w:themeColor="text1"/>
          <w:sz w:val="32"/>
          <w:szCs w:val="32"/>
        </w:rPr>
        <w:t>6</w:t>
      </w:r>
      <w:r>
        <w:rPr>
          <w:rFonts w:hint="eastAsia" w:ascii="宋体" w:hAnsi="宋体" w:eastAsia="宋体" w:cs="宋体"/>
          <w:color w:val="000000" w:themeColor="text1"/>
          <w:sz w:val="32"/>
          <w:szCs w:val="32"/>
        </w:rPr>
        <w:t>个优势产业，壮大具有较高市场占有率的优势产业集群；加快培育人工智能、量子科技、第三代半导体、氢能和储能、深海装备</w:t>
      </w:r>
      <w:r>
        <w:rPr>
          <w:rFonts w:hint="eastAsia" w:ascii="宋体" w:hAnsi="宋体" w:eastAsia="宋体" w:cs="宋体"/>
          <w:color w:val="000000" w:themeColor="text1"/>
          <w:sz w:val="32"/>
          <w:szCs w:val="32"/>
        </w:rPr>
        <w:t>5</w:t>
      </w:r>
      <w:r>
        <w:rPr>
          <w:rFonts w:hint="eastAsia" w:ascii="宋体" w:hAnsi="宋体" w:eastAsia="宋体" w:cs="宋体"/>
          <w:color w:val="000000" w:themeColor="text1"/>
          <w:sz w:val="32"/>
          <w:szCs w:val="32"/>
        </w:rPr>
        <w:t>个未来产业，前瞻布局增长后劲足、资源集聚度高的未来产业集群。推进产业空间向沪宁产业创新带、扬子江绿色发展带和宁杭生态经济带集聚。</w:t>
      </w:r>
    </w:p>
    <w:p w14:paraId="759308FF">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强化沪宁产业创新带的辐射带动。</w:t>
      </w:r>
      <w:r>
        <w:rPr>
          <w:rFonts w:hint="eastAsia" w:ascii="宋体" w:hAnsi="宋体" w:eastAsia="宋体" w:cs="宋体"/>
          <w:color w:val="000000" w:themeColor="text1"/>
          <w:sz w:val="32"/>
          <w:szCs w:val="32"/>
        </w:rPr>
        <w:t>加快科教资源和产业创新优势叠加，加强与沪宁线沿线城市的产业创新协同。重点布局物联网、集成电路、生物医药、高端装备、高端纺织服装、节能环保、新能源、汽车及零部件等先进制造业，以及现代物流、城市配送、电子商务等生产性服务业，打造全国先进制造业基地。</w:t>
      </w:r>
    </w:p>
    <w:p w14:paraId="69331302">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促进扬子江绿色发展带产业转型。</w:t>
      </w:r>
      <w:r>
        <w:rPr>
          <w:rFonts w:hint="eastAsia" w:ascii="宋体" w:hAnsi="宋体" w:eastAsia="宋体" w:cs="宋体"/>
          <w:bCs/>
          <w:color w:val="000000" w:themeColor="text1"/>
          <w:sz w:val="32"/>
          <w:szCs w:val="32"/>
        </w:rPr>
        <w:t>结合沿江产业结构调整，</w:t>
      </w:r>
      <w:r>
        <w:rPr>
          <w:rFonts w:hint="eastAsia" w:ascii="宋体" w:hAnsi="宋体" w:eastAsia="宋体" w:cs="宋体"/>
          <w:color w:val="000000" w:themeColor="text1"/>
          <w:sz w:val="32"/>
          <w:szCs w:val="32"/>
        </w:rPr>
        <w:t>腾退高危险、高耗能、高污染产业，重点布局智能装备、新材料、新能源、生物医药等高端制造业及公共保税物流等现代服务业，促进产业转型，提高江阴市沿江地区产业绿色化、安全化水平。</w:t>
      </w:r>
    </w:p>
    <w:p w14:paraId="2FEFCDE7">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支撑宁杭生态经济带绿色发展。</w:t>
      </w:r>
      <w:r>
        <w:rPr>
          <w:rFonts w:hint="eastAsia" w:ascii="宋体" w:hAnsi="宋体" w:eastAsia="宋体" w:cs="宋体"/>
          <w:color w:val="000000" w:themeColor="text1"/>
          <w:sz w:val="32"/>
          <w:szCs w:val="32"/>
        </w:rPr>
        <w:t>依托南京市、杭州市等科技创新高地辐射，提升宜兴市高端电缆、新能源、节能环保等产业发展水平。促进与溧阳市、湖州市、宣城市等相邻城市协同发展，探索生态产品价值实现与跨省区域合作新路径。</w:t>
      </w:r>
    </w:p>
    <w:p w14:paraId="242D2389">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产业空间保障</w:t>
      </w:r>
    </w:p>
    <w:p w14:paraId="33EF08D7">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结合全市产业布局结构以及各地产业功能特色，划示</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产业基地</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产业社区</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工业区块</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三级工业用地控制线。产业基地以制造业为主导功能，着力提升产业能级，产业社区强调产城融合与功能复合，工业区块为点状保留的绩效较高现状工业用地。重点保障先进制造业和战略性新兴产业发展空间，引导工业、科研、物流仓储等向工业用地控制线内集聚。</w:t>
      </w:r>
    </w:p>
    <w:p w14:paraId="0B762BC6">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科技创新空间</w:t>
      </w:r>
    </w:p>
    <w:p w14:paraId="19DD2B2B">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以太湖湾科技创新带为核心，构建</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一带引领、多城联动、全域协同</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的创新空间格局，实现创新资源高效配置。“一带引领”，以太湖湾科技创新带作为全市的科创策源引擎。“多城联动”，协同各县（市、区）重要创新功能片区，推动太湖湾科技创新带内外创新联动。“全域协同”，促进高品质科创空间连片布局。</w:t>
      </w:r>
    </w:p>
    <w:p w14:paraId="710C2430">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强化太湖湾科技创新带作为全市基础策源的创新中枢，优化“一核三湾”的空间结构。“一核”，依托山水东路、长广溪及临湖岸线空间资源，充分发挥江南大学、中国船舶重工集团公司第</w:t>
      </w:r>
      <w:r>
        <w:rPr>
          <w:rFonts w:hint="eastAsia" w:ascii="宋体" w:hAnsi="宋体" w:eastAsia="宋体" w:cs="宋体"/>
          <w:color w:val="000000" w:themeColor="text1"/>
          <w:sz w:val="32"/>
          <w:szCs w:val="32"/>
        </w:rPr>
        <w:t>七〇二</w:t>
      </w:r>
      <w:r>
        <w:rPr>
          <w:rFonts w:hint="eastAsia" w:ascii="宋体" w:hAnsi="宋体" w:eastAsia="宋体" w:cs="宋体"/>
          <w:color w:val="000000" w:themeColor="text1"/>
          <w:sz w:val="32"/>
          <w:szCs w:val="32"/>
        </w:rPr>
        <w:t>研究所等基础科研资源集聚优势，引入大科学装置等高能级创新平台，打造与山水融为一体的山水科创核。“三湾”，围绕梅梁湖湾、贡湖湾和竺山湖湾，结合湖湾不同的地理特征和多元创新空间布局，强化应用研究与成果转化市域协同，形成科创空间集聚区。</w:t>
      </w:r>
    </w:p>
    <w:p w14:paraId="10838A49">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bookmarkStart w:id="106" w:name="OLE_LINK2"/>
      <w:r>
        <w:rPr>
          <w:rFonts w:hint="eastAsia" w:ascii="宋体" w:hAnsi="宋体" w:eastAsia="宋体" w:cs="宋体"/>
          <w:color w:val="000000" w:themeColor="text1"/>
          <w:sz w:val="32"/>
        </w:rPr>
        <w:t>现代服务业布局</w:t>
      </w:r>
    </w:p>
    <w:p w14:paraId="629DDCCB">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优化现代服务业空间布局，推动现代服务业集聚区提档升级，打造一批专业度高、带动力强的集聚空间，增强服务长三角一体化区域职能。重点发展金融服务、现代物流、科技服务、信息服务、专业服务</w:t>
      </w:r>
      <w:r>
        <w:rPr>
          <w:rFonts w:hint="eastAsia" w:ascii="宋体" w:hAnsi="宋体" w:eastAsia="宋体" w:cs="宋体"/>
          <w:color w:val="000000" w:themeColor="text1"/>
          <w:sz w:val="32"/>
          <w:szCs w:val="32"/>
        </w:rPr>
        <w:t>5</w:t>
      </w:r>
      <w:r>
        <w:rPr>
          <w:rFonts w:hint="eastAsia" w:ascii="宋体" w:hAnsi="宋体" w:eastAsia="宋体" w:cs="宋体"/>
          <w:color w:val="000000" w:themeColor="text1"/>
          <w:sz w:val="32"/>
          <w:szCs w:val="32"/>
        </w:rPr>
        <w:t>大生产性服务业集群，以及文化创意、旅游休闲、商贸服务、健康养老、居民服务</w:t>
      </w:r>
      <w:r>
        <w:rPr>
          <w:rFonts w:hint="eastAsia" w:ascii="宋体" w:hAnsi="宋体" w:eastAsia="宋体" w:cs="宋体"/>
          <w:color w:val="000000" w:themeColor="text1"/>
          <w:sz w:val="32"/>
          <w:szCs w:val="32"/>
        </w:rPr>
        <w:t>5</w:t>
      </w:r>
      <w:r>
        <w:rPr>
          <w:rFonts w:hint="eastAsia" w:ascii="宋体" w:hAnsi="宋体" w:eastAsia="宋体" w:cs="宋体"/>
          <w:color w:val="000000" w:themeColor="text1"/>
          <w:sz w:val="32"/>
          <w:szCs w:val="32"/>
        </w:rPr>
        <w:t>大生活性服务业集群。</w:t>
      </w:r>
      <w:bookmarkStart w:id="107" w:name="OLE_LINK1"/>
      <w:r>
        <w:rPr>
          <w:rFonts w:hint="eastAsia" w:ascii="宋体" w:hAnsi="宋体" w:eastAsia="宋体" w:cs="宋体"/>
          <w:color w:val="000000" w:themeColor="text1"/>
          <w:sz w:val="32"/>
          <w:szCs w:val="32"/>
        </w:rPr>
        <w:t>提升要素资源的集聚配置能力，推动各类现代服务业集聚区建设，重点布局空港物流园、西站物流园、江阴长江港口综合物流园等现代物流集聚区，无锡软件园、无锡惠山软件园等信息服务集聚区，无锡山水城科教产业园、锡东新城商务区等科技服务集聚区，宜兴陶瓷文化创意产业园、无锡（国家）数字电影产业园、江南古运河文商旅集聚区等文旅文创集聚区。</w:t>
      </w:r>
      <w:bookmarkEnd w:id="107"/>
    </w:p>
    <w:bookmarkEnd w:id="106"/>
    <w:p w14:paraId="6C6C1478">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加快构建内外联通、高效运作的物流运行体系。依托中欧班列和区域大运量、快速化、全天候货运走廊，促进空港、海港、陆港等联动协同发力，共建长三角世界级机场群、港口群和陆港群。优化</w:t>
      </w:r>
      <w:r>
        <w:rPr>
          <w:rFonts w:hint="eastAsia" w:ascii="宋体" w:hAnsi="宋体" w:eastAsia="宋体" w:cs="宋体"/>
          <w:color w:val="000000" w:themeColor="text1"/>
          <w:sz w:val="32"/>
          <w:szCs w:val="32"/>
        </w:rPr>
        <w:t>物流枢纽、物流园区和物流配送中心等</w:t>
      </w:r>
      <w:r>
        <w:rPr>
          <w:rFonts w:hint="eastAsia" w:ascii="宋体" w:hAnsi="宋体" w:eastAsia="宋体" w:cs="宋体"/>
          <w:color w:val="000000" w:themeColor="text1"/>
          <w:sz w:val="32"/>
          <w:szCs w:val="32"/>
        </w:rPr>
        <w:t>物流空间布局，合理布局大宗物品物流、冷链物流、快递物流、电商物流、应急物流等物流空间，加强物联网、人工智能等新一代技术与物流深入融合，增强枢纽经济的影响力。</w:t>
      </w:r>
    </w:p>
    <w:p w14:paraId="17BB1EA3">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加快推进空港、海港、陆港三大物流枢纽建设。空港物流枢纽主要依托无锡硕放机场和无锡高新区综合保税区，建设苏南快递产业集聚区与综合保税区配送中心。海港物流枢纽主要依托无锡（江阴）港申夏港区、石利港区、长山港区和江阴综合保税区，打造区域物流网络关键节点、干线物流与区域分拨衔接转换重要节点、物流产业资源集聚重要平台。陆港物流枢纽以西站物流园、玉祁物流园为主体，联动江阴、宜兴物流园等，推进锡澄、锡宜物流一体化发展。</w:t>
      </w:r>
    </w:p>
    <w:p w14:paraId="64C2EF6F">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bookmarkStart w:id="108" w:name="OLE_LINK22"/>
      <w:r>
        <w:rPr>
          <w:rFonts w:hint="eastAsia" w:ascii="宋体" w:hAnsi="宋体" w:eastAsia="宋体" w:cs="宋体"/>
          <w:color w:val="000000" w:themeColor="text1"/>
          <w:sz w:val="32"/>
        </w:rPr>
        <w:t>生产服务型国家物流枢纽</w:t>
      </w:r>
    </w:p>
    <w:bookmarkEnd w:id="108"/>
    <w:p w14:paraId="1A574DD3">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以西站物流园为核心载体，联动石塘湾铁水联运物流园，优化生产服务型国家物流枢纽布局。依托园区优越的公铁水多式联运条件，保障中欧班列、铁海联运、干支仓配、供应链集成、冷链物流、智慧物流等空间需求，重点建设链接国内外的公铁水联运枢纽、长三角先进制造业基地供应链核心枢纽以及华东地区大宗生产资料物流与贸易枢纽。</w:t>
      </w:r>
    </w:p>
    <w:p w14:paraId="6A8FB4AF">
      <w:pPr>
        <w:pStyle w:val="3"/>
        <w:numPr>
          <w:ilvl w:val="0"/>
          <w:numId w:val="6"/>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109" w:name="_Toc176945811"/>
      <w:bookmarkStart w:id="110" w:name="_Toc156410575"/>
      <w:bookmarkStart w:id="111" w:name="_Toc161582243"/>
      <w:bookmarkStart w:id="112" w:name="_Toc185189023"/>
      <w:bookmarkStart w:id="113" w:name="_Toc139397161"/>
      <w:bookmarkStart w:id="114" w:name="_Toc27437"/>
      <w:r>
        <w:rPr>
          <w:rFonts w:hint="eastAsia" w:ascii="宋体" w:hAnsi="宋体" w:eastAsia="宋体" w:cs="宋体"/>
          <w:b w:val="0"/>
          <w:bCs w:val="0"/>
          <w:color w:val="000000" w:themeColor="text1"/>
        </w:rPr>
        <w:t>公共服务</w:t>
      </w:r>
      <w:bookmarkEnd w:id="109"/>
      <w:bookmarkEnd w:id="110"/>
      <w:bookmarkEnd w:id="111"/>
      <w:bookmarkEnd w:id="112"/>
      <w:bookmarkEnd w:id="113"/>
      <w:r>
        <w:rPr>
          <w:rFonts w:hint="eastAsia" w:ascii="宋体" w:hAnsi="宋体" w:eastAsia="宋体" w:cs="宋体"/>
          <w:b w:val="0"/>
          <w:bCs w:val="0"/>
          <w:color w:val="000000" w:themeColor="text1"/>
        </w:rPr>
        <w:t>设施布局</w:t>
      </w:r>
      <w:bookmarkEnd w:id="114"/>
    </w:p>
    <w:p w14:paraId="1D31AF99">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空间布局原则</w:t>
      </w:r>
    </w:p>
    <w:p w14:paraId="7E4933FE">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坚持以人为本，落实人民城市人民建的要求，构建层级清晰、功能复合、城乡统筹、普惠共享的城乡生活圈，不断提升居民安全感、获得感和幸福感，打造有温度的幸福宜居城市。</w:t>
      </w:r>
    </w:p>
    <w:p w14:paraId="3C27960D">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基本公共服务设施</w:t>
      </w:r>
    </w:p>
    <w:p w14:paraId="7195FF4D">
      <w:pPr>
        <w:spacing w:line="600" w:lineRule="exact"/>
        <w:ind w:firstLine="643" w:firstLineChars="200"/>
        <w:rPr>
          <w:rFonts w:hint="eastAsia" w:ascii="宋体" w:hAnsi="宋体" w:eastAsia="宋体" w:cs="宋体"/>
          <w:color w:val="000000" w:themeColor="text1"/>
          <w:sz w:val="32"/>
          <w:szCs w:val="32"/>
          <w:u w:val="single"/>
        </w:rPr>
      </w:pPr>
      <w:r>
        <w:rPr>
          <w:rFonts w:hint="eastAsia" w:ascii="宋体" w:hAnsi="宋体" w:eastAsia="宋体" w:cs="宋体"/>
          <w:b/>
          <w:bCs/>
          <w:color w:val="000000" w:themeColor="text1"/>
          <w:sz w:val="32"/>
          <w:szCs w:val="32"/>
        </w:rPr>
        <w:t>教育设施。</w:t>
      </w:r>
      <w:r>
        <w:rPr>
          <w:rFonts w:hint="eastAsia" w:ascii="宋体" w:hAnsi="宋体" w:eastAsia="宋体" w:cs="宋体"/>
          <w:color w:val="000000" w:themeColor="text1"/>
          <w:sz w:val="32"/>
          <w:szCs w:val="32"/>
        </w:rPr>
        <w:t>高起点规划优质高中，加大基础教育资源供给，加快义务教育学校现代化建设，扩大普惠性幼儿园和中小学优质教育资源覆盖面，提高普惠托育机构覆盖率。为</w:t>
      </w:r>
      <w:r>
        <w:rPr>
          <w:rFonts w:hint="eastAsia" w:ascii="宋体" w:hAnsi="宋体" w:eastAsia="宋体" w:cs="宋体"/>
          <w:color w:val="000000" w:themeColor="text1"/>
          <w:sz w:val="32"/>
          <w:szCs w:val="32"/>
        </w:rPr>
        <w:t>学前教育、义务教育、高中教育、特殊教育、职业教育、高等教育、终身教育等覆盖全对象、全年龄段</w:t>
      </w:r>
      <w:r>
        <w:rPr>
          <w:rFonts w:hint="eastAsia" w:ascii="宋体" w:hAnsi="宋体" w:eastAsia="宋体" w:cs="宋体"/>
          <w:color w:val="000000" w:themeColor="text1"/>
          <w:sz w:val="32"/>
          <w:szCs w:val="32"/>
        </w:rPr>
        <w:t>的教育体系提供空间保障。</w:t>
      </w:r>
    </w:p>
    <w:p w14:paraId="108230AA">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医疗卫生设施。</w:t>
      </w:r>
      <w:r>
        <w:rPr>
          <w:rFonts w:hint="eastAsia" w:ascii="宋体" w:hAnsi="宋体" w:eastAsia="宋体" w:cs="宋体"/>
          <w:color w:val="000000" w:themeColor="text1"/>
          <w:sz w:val="32"/>
          <w:szCs w:val="32"/>
        </w:rPr>
        <w:t>医疗机构以综合医院、专科医院、中医医院为主体，加强梁溪城区医疗卫生机构提档升级，完善新建地区医疗卫生设施。为完善以市属综合医院为龙头、专科医疗机构和区级医院为支撑、基层医疗卫生机构为基础，覆盖城乡、服务均等的医疗卫生体系提供空间保障。</w:t>
      </w:r>
    </w:p>
    <w:p w14:paraId="68463B64">
      <w:pPr>
        <w:spacing w:line="600" w:lineRule="exact"/>
        <w:ind w:firstLine="643" w:firstLineChars="200"/>
        <w:rPr>
          <w:rFonts w:hint="eastAsia" w:ascii="宋体" w:hAnsi="宋体" w:eastAsia="宋体" w:cs="宋体"/>
          <w:color w:val="000000" w:themeColor="text1"/>
          <w:sz w:val="32"/>
          <w:szCs w:val="32"/>
          <w:u w:val="single"/>
        </w:rPr>
      </w:pPr>
      <w:r>
        <w:rPr>
          <w:rFonts w:hint="eastAsia" w:ascii="宋体" w:hAnsi="宋体" w:eastAsia="宋体" w:cs="宋体"/>
          <w:b/>
          <w:bCs/>
          <w:color w:val="000000" w:themeColor="text1"/>
          <w:sz w:val="32"/>
          <w:szCs w:val="32"/>
        </w:rPr>
        <w:t>公共文化设施。</w:t>
      </w:r>
      <w:r>
        <w:rPr>
          <w:rFonts w:hint="eastAsia" w:ascii="宋体" w:hAnsi="宋体" w:eastAsia="宋体" w:cs="宋体"/>
          <w:color w:val="000000" w:themeColor="text1"/>
          <w:sz w:val="32"/>
          <w:szCs w:val="32"/>
        </w:rPr>
        <w:t>完善区级、街道级和社区级三级基本公共文化设施体系。区级综合服务中心至少规划</w:t>
      </w:r>
      <w:r>
        <w:rPr>
          <w:rFonts w:hint="eastAsia" w:ascii="宋体" w:hAnsi="宋体" w:eastAsia="宋体" w:cs="宋体"/>
          <w:color w:val="000000" w:themeColor="text1"/>
          <w:sz w:val="32"/>
          <w:szCs w:val="32"/>
        </w:rPr>
        <w:t>1</w:t>
      </w:r>
      <w:r>
        <w:rPr>
          <w:rFonts w:hint="eastAsia" w:ascii="宋体" w:hAnsi="宋体" w:eastAsia="宋体" w:cs="宋体"/>
          <w:color w:val="000000" w:themeColor="text1"/>
          <w:sz w:val="32"/>
          <w:szCs w:val="32"/>
        </w:rPr>
        <w:t>处区级文化中心，包括图书馆、美术馆、科技馆、少年宫、剧场等。推进社区综合文化中心（站）的标准化建设和提升改造。为构建均衡活力、惠及全民的现代公共文化服务体系提供空间保障。</w:t>
      </w:r>
    </w:p>
    <w:p w14:paraId="047C0C67">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体育设施。</w:t>
      </w:r>
      <w:r>
        <w:rPr>
          <w:rFonts w:hint="eastAsia" w:ascii="宋体" w:hAnsi="宋体" w:eastAsia="宋体" w:cs="宋体"/>
          <w:color w:val="000000" w:themeColor="text1"/>
          <w:sz w:val="32"/>
          <w:szCs w:val="32"/>
        </w:rPr>
        <w:t>完善区级体育场、体育馆、游泳馆、全民健身中心、体育公园及其他专项场馆，街道级全民健身中心、多功能运动场、健身公园，社区级体育活动室、健身公园等公共体育设施。结合公共开敞空间打造体育公园，构建网络化的体育健身步道。在不降低公园绿地服务功能的前提下，根据周边群众需要和场地条件，可因地制宜配置健身设施，满足群众健身需求。为构建开放共享、活力多元的公共体育服务体系提供空间保障。</w:t>
      </w:r>
    </w:p>
    <w:p w14:paraId="0BB7FA32">
      <w:pPr>
        <w:spacing w:line="600" w:lineRule="exact"/>
        <w:ind w:firstLine="643" w:firstLineChars="200"/>
        <w:rPr>
          <w:rFonts w:hint="eastAsia" w:ascii="宋体" w:hAnsi="宋体" w:eastAsia="宋体" w:cs="宋体"/>
          <w:color w:val="000000" w:themeColor="text1"/>
          <w:sz w:val="32"/>
          <w:szCs w:val="32"/>
          <w:u w:val="single"/>
        </w:rPr>
      </w:pPr>
      <w:r>
        <w:rPr>
          <w:rFonts w:hint="eastAsia" w:ascii="宋体" w:hAnsi="宋体" w:eastAsia="宋体" w:cs="宋体"/>
          <w:b/>
          <w:bCs/>
          <w:color w:val="000000" w:themeColor="text1"/>
          <w:sz w:val="32"/>
          <w:szCs w:val="32"/>
        </w:rPr>
        <w:t>养老设施。</w:t>
      </w:r>
      <w:r>
        <w:rPr>
          <w:rFonts w:hint="eastAsia" w:ascii="宋体" w:hAnsi="宋体" w:eastAsia="宋体" w:cs="宋体"/>
          <w:color w:val="000000" w:themeColor="text1"/>
          <w:sz w:val="32"/>
          <w:szCs w:val="32"/>
        </w:rPr>
        <w:t>推动镇（街道）综合性养老服务中心全覆盖，并达到三级以上养老机构标准。结合城乡生活圈，优化社区养老服务站点布局。提升市、区两级儿童福利机构和社会救助机构的标准化、专业化服务能力。为构建医养融合、城乡一体的养老服务体系提供空间保障。</w:t>
      </w:r>
    </w:p>
    <w:p w14:paraId="26BED87C">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殡葬设施。</w:t>
      </w:r>
      <w:r>
        <w:rPr>
          <w:rFonts w:hint="eastAsia" w:ascii="宋体" w:hAnsi="宋体" w:eastAsia="宋体" w:cs="宋体"/>
          <w:color w:val="000000" w:themeColor="text1"/>
          <w:sz w:val="32"/>
          <w:szCs w:val="32"/>
        </w:rPr>
        <w:t>优化殡葬设施布局，完善殡葬服务网络，实现节地安葬、生态安葬、文明安葬。提档升级现有公益性骨灰堂，逐步搬迁现有散坟至公益性骨灰安葬（放）设施，推进现有公墓全面建设节地生态葬区，新建集中守灵中心。为构建逝有所安、绿色集约的现代殡葬设施服务体系提供空间保障。</w:t>
      </w:r>
    </w:p>
    <w:p w14:paraId="3BCEED8E">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市级重要公共服务设施布局</w:t>
      </w:r>
    </w:p>
    <w:p w14:paraId="701A8B82">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结合空间结构，优化市级重要公共服务设施布局，提升重要公共服务设施的区域辐射力。</w:t>
      </w:r>
    </w:p>
    <w:p w14:paraId="7D3E9959">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谋划高等教育空间布局。</w:t>
      </w:r>
      <w:r>
        <w:rPr>
          <w:rFonts w:hint="eastAsia" w:ascii="宋体" w:hAnsi="宋体" w:eastAsia="宋体" w:cs="宋体"/>
          <w:color w:val="000000" w:themeColor="text1"/>
          <w:sz w:val="32"/>
          <w:szCs w:val="32"/>
        </w:rPr>
        <w:t>积极引进和建设高水平大学，在太湖湾、宛山湖周边地区保障高等教育设施的空间需求，形成布局相对集中、规模适度的高等教育集聚区。提升无锡（藕塘）职教园整体发展水平，引导职业教育规模化、特色化发展。</w:t>
      </w:r>
    </w:p>
    <w:p w14:paraId="79D140AD">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丰富特色公共文化设施。</w:t>
      </w:r>
      <w:r>
        <w:rPr>
          <w:rFonts w:hint="eastAsia" w:ascii="宋体" w:hAnsi="宋体" w:eastAsia="宋体" w:cs="宋体"/>
          <w:color w:val="000000" w:themeColor="text1"/>
          <w:sz w:val="32"/>
          <w:szCs w:val="32"/>
        </w:rPr>
        <w:t>保障市级文化馆、图书馆、博物馆、美术馆等重要公共文化设施，以及展示馆、剧院、音乐厅和文化活动中心等专类特色公共文化设施的空间需求。太湖新城区核心布局高品质、标志性公共文化设施，梁溪城区结合存量空间布局特色文化展示类设施。</w:t>
      </w:r>
    </w:p>
    <w:p w14:paraId="528B7D41">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提升体育赛事服务能力。</w:t>
      </w:r>
      <w:r>
        <w:rPr>
          <w:rFonts w:hint="eastAsia" w:ascii="宋体" w:hAnsi="宋体" w:eastAsia="宋体" w:cs="宋体"/>
          <w:color w:val="000000" w:themeColor="text1"/>
          <w:sz w:val="32"/>
          <w:szCs w:val="32"/>
        </w:rPr>
        <w:t>改造提升现有市级体育设施，建设市级体育公园，保障其他竞技性、综合性市级体育场馆空间需求。充分考虑体育设施（场馆）赛后利用，提前布局全民健身功能。</w:t>
      </w:r>
    </w:p>
    <w:p w14:paraId="27C9756E">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提升健康养老设施品质。</w:t>
      </w:r>
      <w:r>
        <w:rPr>
          <w:rFonts w:hint="eastAsia" w:ascii="宋体" w:hAnsi="宋体" w:eastAsia="宋体" w:cs="宋体"/>
          <w:color w:val="000000" w:themeColor="text1"/>
          <w:sz w:val="32"/>
          <w:szCs w:val="32"/>
        </w:rPr>
        <w:t>优化高等级医院空间布局，加强医养融合，合理保障疗养型、品牌化的高品质养老设施建设用地。</w:t>
      </w:r>
    </w:p>
    <w:p w14:paraId="6E6D3642">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城乡生活圈</w:t>
      </w:r>
    </w:p>
    <w:p w14:paraId="1B027B91">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构建街道社区级、基层社区（村）级两级城乡生活圈。结合居民生活、出行特点和管理需求，划分街道社区级城乡生活圈，服务常住人口约</w:t>
      </w:r>
      <w:r>
        <w:rPr>
          <w:rFonts w:hint="eastAsia" w:ascii="宋体" w:hAnsi="宋体" w:eastAsia="宋体" w:cs="宋体"/>
          <w:color w:val="000000" w:themeColor="text1"/>
          <w:sz w:val="32"/>
          <w:szCs w:val="32"/>
        </w:rPr>
        <w:t>5</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10</w:t>
      </w:r>
      <w:r>
        <w:rPr>
          <w:rFonts w:hint="eastAsia" w:ascii="宋体" w:hAnsi="宋体" w:eastAsia="宋体" w:cs="宋体"/>
          <w:color w:val="000000" w:themeColor="text1"/>
          <w:sz w:val="32"/>
          <w:szCs w:val="32"/>
        </w:rPr>
        <w:t>万人，加强公共服务设施的用地保障，促进集中配置。结合居委会、村委服务范围，划分基层社区（村）级城乡生活圈，服务常住人口约</w:t>
      </w:r>
      <w:r>
        <w:rPr>
          <w:rFonts w:hint="eastAsia" w:ascii="宋体" w:hAnsi="宋体" w:eastAsia="宋体" w:cs="宋体"/>
          <w:color w:val="000000" w:themeColor="text1"/>
          <w:sz w:val="32"/>
          <w:szCs w:val="32"/>
        </w:rPr>
        <w:t>1</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1</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5</w:t>
      </w:r>
      <w:r>
        <w:rPr>
          <w:rFonts w:hint="eastAsia" w:ascii="宋体" w:hAnsi="宋体" w:eastAsia="宋体" w:cs="宋体"/>
          <w:color w:val="000000" w:themeColor="text1"/>
          <w:sz w:val="32"/>
          <w:szCs w:val="32"/>
        </w:rPr>
        <w:t>万人，完善基本公共服务设施。保障社区综合服务设施建设用地，强化复合利用，保障居民享有便捷舒适的社区公共服务设施。加强城乡综合服务设施改造、提升和新建设施的用地保障。</w:t>
      </w:r>
    </w:p>
    <w:p w14:paraId="07ED9EF5">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sectPr>
          <w:pgSz w:w="11906" w:h="16838"/>
          <w:pgMar w:top="1440" w:right="1800" w:bottom="1440" w:left="1800" w:header="851" w:footer="992" w:gutter="0"/>
          <w:cols w:space="425" w:num="1"/>
          <w:docGrid w:type="lines" w:linePitch="312" w:charSpace="0"/>
        </w:sectPr>
      </w:pPr>
      <w:bookmarkStart w:id="115" w:name="_Toc134526383"/>
      <w:bookmarkEnd w:id="115"/>
      <w:bookmarkStart w:id="116" w:name="_Toc134526706"/>
      <w:bookmarkEnd w:id="116"/>
      <w:bookmarkStart w:id="117" w:name="_Toc134526384"/>
      <w:bookmarkEnd w:id="117"/>
      <w:bookmarkStart w:id="118" w:name="_Toc134526707"/>
      <w:bookmarkEnd w:id="118"/>
      <w:bookmarkStart w:id="119" w:name="_Toc134526382"/>
      <w:bookmarkEnd w:id="119"/>
      <w:bookmarkStart w:id="120" w:name="_Toc134526478"/>
      <w:bookmarkEnd w:id="120"/>
      <w:bookmarkStart w:id="121" w:name="_Toc134526479"/>
      <w:bookmarkEnd w:id="121"/>
      <w:bookmarkStart w:id="122" w:name="_Toc134526705"/>
      <w:bookmarkEnd w:id="122"/>
      <w:bookmarkStart w:id="123" w:name="_Toc134526477"/>
      <w:bookmarkEnd w:id="123"/>
      <w:bookmarkStart w:id="124" w:name="_Toc134526381"/>
      <w:bookmarkEnd w:id="124"/>
      <w:bookmarkStart w:id="125" w:name="_Toc134526708"/>
      <w:bookmarkEnd w:id="125"/>
      <w:bookmarkStart w:id="126" w:name="_Toc134526476"/>
      <w:bookmarkEnd w:id="126"/>
    </w:p>
    <w:p w14:paraId="1839EE34">
      <w:pPr>
        <w:pStyle w:val="2"/>
        <w:numPr>
          <w:ilvl w:val="0"/>
          <w:numId w:val="2"/>
        </w:numPr>
        <w:snapToGrid w:val="0"/>
        <w:spacing w:before="0" w:after="156" w:afterLines="50" w:line="500" w:lineRule="exact"/>
        <w:ind w:left="0" w:firstLine="0"/>
        <w:jc w:val="center"/>
        <w:rPr>
          <w:rFonts w:hint="eastAsia" w:ascii="宋体" w:hAnsi="宋体" w:eastAsia="宋体" w:cs="宋体"/>
          <w:b w:val="0"/>
          <w:color w:val="000000" w:themeColor="text1"/>
          <w:sz w:val="36"/>
          <w:szCs w:val="36"/>
        </w:rPr>
      </w:pPr>
      <w:bookmarkStart w:id="127" w:name="_Toc161582249"/>
      <w:bookmarkStart w:id="128" w:name="_Toc29720"/>
      <w:bookmarkStart w:id="129" w:name="_Toc11721"/>
      <w:bookmarkStart w:id="130" w:name="_Toc28826"/>
      <w:bookmarkStart w:id="131" w:name="_Toc28088"/>
      <w:bookmarkStart w:id="132" w:name="_Toc26821"/>
      <w:bookmarkStart w:id="133" w:name="_Toc134283676"/>
      <w:bookmarkStart w:id="134" w:name="_Toc14529"/>
      <w:bookmarkStart w:id="135" w:name="_Toc156410581"/>
      <w:bookmarkStart w:id="136" w:name="_Toc139397167"/>
      <w:bookmarkStart w:id="137" w:name="_Toc17863"/>
      <w:bookmarkStart w:id="138" w:name="_Toc185189071"/>
      <w:bookmarkStart w:id="139" w:name="_Toc176945816"/>
      <w:bookmarkStart w:id="140" w:name="_Toc16496"/>
      <w:r>
        <w:rPr>
          <w:rFonts w:hint="eastAsia" w:ascii="宋体" w:hAnsi="宋体" w:eastAsia="宋体" w:cs="宋体"/>
          <w:b w:val="0"/>
          <w:color w:val="000000" w:themeColor="text1"/>
          <w:sz w:val="36"/>
          <w:szCs w:val="36"/>
        </w:rPr>
        <w:t>城市空间布局</w:t>
      </w:r>
      <w:bookmarkEnd w:id="127"/>
      <w:bookmarkEnd w:id="128"/>
      <w:bookmarkEnd w:id="129"/>
      <w:bookmarkEnd w:id="130"/>
      <w:bookmarkEnd w:id="131"/>
      <w:bookmarkEnd w:id="132"/>
      <w:bookmarkEnd w:id="133"/>
      <w:bookmarkEnd w:id="134"/>
      <w:bookmarkEnd w:id="135"/>
      <w:bookmarkEnd w:id="136"/>
      <w:bookmarkEnd w:id="137"/>
      <w:r>
        <w:rPr>
          <w:rFonts w:hint="eastAsia" w:ascii="宋体" w:hAnsi="宋体" w:eastAsia="宋体" w:cs="宋体"/>
          <w:b w:val="0"/>
          <w:color w:val="000000" w:themeColor="text1"/>
          <w:sz w:val="36"/>
          <w:szCs w:val="36"/>
        </w:rPr>
        <w:t>优化</w:t>
      </w:r>
      <w:bookmarkEnd w:id="138"/>
      <w:bookmarkEnd w:id="139"/>
      <w:bookmarkEnd w:id="140"/>
    </w:p>
    <w:p w14:paraId="7D67FE96">
      <w:pPr>
        <w:pStyle w:val="3"/>
        <w:numPr>
          <w:ilvl w:val="0"/>
          <w:numId w:val="7"/>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141" w:name="_Toc185189072"/>
      <w:bookmarkStart w:id="142" w:name="_Toc24893"/>
      <w:bookmarkStart w:id="143" w:name="_Toc22593"/>
      <w:bookmarkStart w:id="144" w:name="_Toc19476"/>
      <w:bookmarkStart w:id="145" w:name="_Toc2773"/>
      <w:bookmarkStart w:id="146" w:name="_Toc161582250"/>
      <w:bookmarkStart w:id="147" w:name="_Toc156410582"/>
      <w:bookmarkStart w:id="148" w:name="_Toc31315"/>
      <w:bookmarkStart w:id="149" w:name="_Toc176945817"/>
      <w:bookmarkStart w:id="150" w:name="_Toc134283677"/>
      <w:bookmarkStart w:id="151" w:name="_Toc24156"/>
      <w:bookmarkStart w:id="152" w:name="_Toc14244"/>
      <w:bookmarkStart w:id="153" w:name="_Toc7663"/>
      <w:bookmarkStart w:id="154" w:name="_Toc139397168"/>
      <w:r>
        <w:rPr>
          <w:rFonts w:hint="eastAsia" w:ascii="宋体" w:hAnsi="宋体" w:eastAsia="宋体" w:cs="宋体"/>
          <w:b w:val="0"/>
          <w:bCs w:val="0"/>
          <w:color w:val="000000" w:themeColor="text1"/>
        </w:rPr>
        <w:t>市辖区空间布局</w:t>
      </w:r>
      <w:bookmarkEnd w:id="141"/>
      <w:bookmarkEnd w:id="142"/>
    </w:p>
    <w:p w14:paraId="25B139ED">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空间结构</w:t>
      </w:r>
    </w:p>
    <w:p w14:paraId="12FC559B">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u w:val="none"/>
        </w:rPr>
        <w:t>构建</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两核、四片、六组团</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的市辖区空间结构，</w:t>
      </w:r>
      <w:r>
        <w:rPr>
          <w:rFonts w:hint="eastAsia" w:ascii="宋体" w:hAnsi="宋体" w:eastAsia="宋体" w:cs="宋体"/>
          <w:color w:val="000000" w:themeColor="text1"/>
          <w:sz w:val="32"/>
          <w:szCs w:val="32"/>
        </w:rPr>
        <w:t>支撑重要发展战略空间落地，提升市辖区产业创新聚合能力、文商旅服务能力及枢纽辐射能力。</w:t>
      </w:r>
    </w:p>
    <w:p w14:paraId="0E748714">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两核：</w:t>
      </w:r>
      <w:r>
        <w:rPr>
          <w:rFonts w:hint="eastAsia" w:ascii="宋体" w:hAnsi="宋体" w:eastAsia="宋体" w:cs="宋体"/>
          <w:color w:val="000000" w:themeColor="text1"/>
          <w:sz w:val="32"/>
          <w:szCs w:val="32"/>
        </w:rPr>
        <w:t>指梁溪城区和太湖新城区两个城市发展核心。梁溪城区着力提升文化内核，加快文商旅融合，打造古今辉映的江南名城；太湖新城区加快商务办公和创新经济集聚，打造湖滨生态宜居新城。</w:t>
      </w:r>
    </w:p>
    <w:p w14:paraId="54C6BE5F">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四片：</w:t>
      </w:r>
      <w:r>
        <w:rPr>
          <w:rFonts w:hint="eastAsia" w:ascii="宋体" w:hAnsi="宋体" w:eastAsia="宋体" w:cs="宋体"/>
          <w:color w:val="000000" w:themeColor="text1"/>
          <w:sz w:val="32"/>
          <w:szCs w:val="32"/>
        </w:rPr>
        <w:t>包括锡东片区、惠山片区、新吴片区和湖山片区。</w:t>
      </w:r>
      <w:r>
        <w:rPr>
          <w:rFonts w:hint="eastAsia" w:ascii="宋体" w:hAnsi="宋体" w:eastAsia="宋体" w:cs="宋体"/>
          <w:bCs/>
          <w:color w:val="000000" w:themeColor="text1"/>
          <w:sz w:val="32"/>
          <w:szCs w:val="32"/>
        </w:rPr>
        <w:t>锡东片区</w:t>
      </w:r>
      <w:r>
        <w:rPr>
          <w:rFonts w:hint="eastAsia" w:ascii="宋体" w:hAnsi="宋体" w:eastAsia="宋体" w:cs="宋体"/>
          <w:color w:val="000000" w:themeColor="text1"/>
          <w:sz w:val="32"/>
          <w:szCs w:val="32"/>
        </w:rPr>
        <w:t>促进锡山经济技术开发区、锡东新城商务区和宛山湖生态科技城联动发展，打造无锡市接轨融入上海大都市圈的重要门户。</w:t>
      </w:r>
      <w:r>
        <w:rPr>
          <w:rFonts w:hint="eastAsia" w:ascii="宋体" w:hAnsi="宋体" w:eastAsia="宋体" w:cs="宋体"/>
          <w:bCs/>
          <w:color w:val="000000" w:themeColor="text1"/>
          <w:sz w:val="32"/>
          <w:szCs w:val="32"/>
        </w:rPr>
        <w:t>惠山片区</w:t>
      </w:r>
      <w:r>
        <w:rPr>
          <w:rFonts w:hint="eastAsia" w:ascii="宋体" w:hAnsi="宋体" w:eastAsia="宋体" w:cs="宋体"/>
          <w:color w:val="000000" w:themeColor="text1"/>
          <w:sz w:val="32"/>
          <w:szCs w:val="32"/>
        </w:rPr>
        <w:t>促进江苏无锡惠山经济开发区、惠山站枢纽和堰桥街道联动发展，协同推进梁溪科技城和霞客湾科学城建设。</w:t>
      </w:r>
      <w:r>
        <w:rPr>
          <w:rFonts w:hint="eastAsia" w:ascii="宋体" w:hAnsi="宋体" w:eastAsia="宋体" w:cs="宋体"/>
          <w:bCs/>
          <w:color w:val="000000" w:themeColor="text1"/>
          <w:sz w:val="32"/>
          <w:szCs w:val="32"/>
        </w:rPr>
        <w:t>新吴片区</w:t>
      </w:r>
      <w:r>
        <w:rPr>
          <w:rFonts w:hint="eastAsia" w:ascii="宋体" w:hAnsi="宋体" w:eastAsia="宋体" w:cs="宋体"/>
          <w:color w:val="000000" w:themeColor="text1"/>
          <w:sz w:val="32"/>
          <w:szCs w:val="32"/>
        </w:rPr>
        <w:t>促进无锡高新技术产业开发区和空港枢纽联动发展，聚力产业科技创新，推进科产城人融合发展。</w:t>
      </w:r>
      <w:r>
        <w:rPr>
          <w:rFonts w:hint="eastAsia" w:ascii="宋体" w:hAnsi="宋体" w:eastAsia="宋体" w:cs="宋体"/>
          <w:bCs/>
          <w:color w:val="000000" w:themeColor="text1"/>
          <w:sz w:val="32"/>
          <w:szCs w:val="32"/>
        </w:rPr>
        <w:t>湖山片区</w:t>
      </w:r>
      <w:r>
        <w:rPr>
          <w:rFonts w:hint="eastAsia" w:ascii="宋体" w:hAnsi="宋体" w:eastAsia="宋体" w:cs="宋体"/>
          <w:color w:val="000000" w:themeColor="text1"/>
          <w:sz w:val="32"/>
          <w:szCs w:val="32"/>
        </w:rPr>
        <w:t>促进无锡太湖国家旅游度假区、江苏无锡蠡园经济开发区、胡埭镇和钱桥街道联动发展，全面融入太湖湾科技创新带建设。</w:t>
      </w:r>
    </w:p>
    <w:p w14:paraId="73AD43DA">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六组团：</w:t>
      </w:r>
      <w:r>
        <w:rPr>
          <w:rFonts w:hint="eastAsia" w:ascii="宋体" w:hAnsi="宋体" w:eastAsia="宋体" w:cs="宋体"/>
          <w:color w:val="000000" w:themeColor="text1"/>
          <w:sz w:val="32"/>
          <w:szCs w:val="32"/>
        </w:rPr>
        <w:t>指东港</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锡北组团、玉祁</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前洲组团、洛社镇、阳山镇、鹅湖镇、羊尖镇</w:t>
      </w:r>
      <w:r>
        <w:rPr>
          <w:rFonts w:hint="eastAsia" w:ascii="宋体" w:hAnsi="宋体" w:eastAsia="宋体" w:cs="宋体"/>
          <w:color w:val="000000" w:themeColor="text1"/>
          <w:sz w:val="32"/>
          <w:szCs w:val="32"/>
        </w:rPr>
        <w:t>6</w:t>
      </w:r>
      <w:r>
        <w:rPr>
          <w:rFonts w:hint="eastAsia" w:ascii="宋体" w:hAnsi="宋体" w:eastAsia="宋体" w:cs="宋体"/>
          <w:color w:val="000000" w:themeColor="text1"/>
          <w:sz w:val="32"/>
          <w:szCs w:val="32"/>
        </w:rPr>
        <w:t>个外围城镇组团。加强组团间生态廊道管控，加快镇（街道）级工业集聚区转型升级和零散乡村工业用地优化整合，完善各类公共服务设施布局，加强历史文化保护与传承，实现差别化、特色化发展。</w:t>
      </w:r>
    </w:p>
    <w:p w14:paraId="7CB26235">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中心体系</w:t>
      </w:r>
    </w:p>
    <w:p w14:paraId="65669916">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依托轨道交通，重点强化以公共交通为导向的</w:t>
      </w:r>
      <w:r>
        <w:rPr>
          <w:rFonts w:hint="eastAsia" w:ascii="宋体" w:hAnsi="宋体" w:eastAsia="宋体" w:cs="宋体"/>
          <w:color w:val="000000" w:themeColor="text1"/>
          <w:sz w:val="32"/>
          <w:szCs w:val="32"/>
        </w:rPr>
        <w:t>6</w:t>
      </w:r>
      <w:r>
        <w:rPr>
          <w:rFonts w:hint="eastAsia" w:ascii="宋体" w:hAnsi="宋体" w:eastAsia="宋体" w:cs="宋体"/>
          <w:color w:val="000000" w:themeColor="text1"/>
          <w:sz w:val="32"/>
          <w:szCs w:val="32"/>
        </w:rPr>
        <w:t>条公共服务走廊，引导公共服务设施向轨道交通站点周边集聚。</w:t>
      </w:r>
      <w:r>
        <w:rPr>
          <w:rFonts w:hint="eastAsia" w:ascii="宋体" w:hAnsi="宋体" w:eastAsia="宋体" w:cs="宋体"/>
          <w:color w:val="000000" w:themeColor="text1"/>
          <w:sz w:val="32"/>
          <w:szCs w:val="32"/>
          <w:u w:val="none"/>
        </w:rPr>
        <w:t>规划形成</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城市中心</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特色副中心</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地区级中心</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社区中心</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四级中心体系。</w:t>
      </w:r>
    </w:p>
    <w:p w14:paraId="68C89DD9">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城市中心。</w:t>
      </w:r>
      <w:r>
        <w:rPr>
          <w:rFonts w:hint="eastAsia" w:ascii="宋体" w:hAnsi="宋体" w:eastAsia="宋体" w:cs="宋体"/>
          <w:color w:val="000000" w:themeColor="text1"/>
          <w:sz w:val="32"/>
          <w:szCs w:val="32"/>
        </w:rPr>
        <w:t>规划梁溪城区核心和太湖新城区核心</w:t>
      </w:r>
      <w:r>
        <w:rPr>
          <w:rFonts w:hint="eastAsia" w:ascii="宋体" w:hAnsi="宋体" w:eastAsia="宋体" w:cs="宋体"/>
          <w:color w:val="000000" w:themeColor="text1"/>
          <w:sz w:val="32"/>
          <w:szCs w:val="32"/>
        </w:rPr>
        <w:t>2</w:t>
      </w:r>
      <w:r>
        <w:rPr>
          <w:rFonts w:hint="eastAsia" w:ascii="宋体" w:hAnsi="宋体" w:eastAsia="宋体" w:cs="宋体"/>
          <w:color w:val="000000" w:themeColor="text1"/>
          <w:sz w:val="32"/>
          <w:szCs w:val="32"/>
        </w:rPr>
        <w:t>个城市中心，是城市核心功能的重要承载区。梁溪城区核心是传统商业中心、文化旅游中心和综合服务中心。太湖新城区核心是行政中心、金融商务中心、综合展示中心和科创服务中心。</w:t>
      </w:r>
    </w:p>
    <w:p w14:paraId="3E4BCB54">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特色副中心。</w:t>
      </w:r>
      <w:r>
        <w:rPr>
          <w:rFonts w:hint="eastAsia" w:ascii="宋体" w:hAnsi="宋体" w:eastAsia="宋体" w:cs="宋体"/>
          <w:color w:val="000000" w:themeColor="text1"/>
          <w:sz w:val="32"/>
          <w:szCs w:val="32"/>
        </w:rPr>
        <w:t>规划蠡湖未来城、锡东片区中心、惠山片区中心和新吴片区中心</w:t>
      </w:r>
      <w:r>
        <w:rPr>
          <w:rFonts w:hint="eastAsia" w:ascii="宋体" w:hAnsi="宋体" w:eastAsia="宋体" w:cs="宋体"/>
          <w:color w:val="000000" w:themeColor="text1"/>
          <w:sz w:val="32"/>
          <w:szCs w:val="32"/>
        </w:rPr>
        <w:t>4</w:t>
      </w:r>
      <w:r>
        <w:rPr>
          <w:rFonts w:hint="eastAsia" w:ascii="宋体" w:hAnsi="宋体" w:eastAsia="宋体" w:cs="宋体"/>
          <w:color w:val="000000" w:themeColor="text1"/>
          <w:sz w:val="32"/>
          <w:szCs w:val="32"/>
        </w:rPr>
        <w:t>个特色副中心，成为面向区域的专业化、特色化副中心。</w:t>
      </w:r>
    </w:p>
    <w:p w14:paraId="35947724">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地区级中心。</w:t>
      </w:r>
      <w:r>
        <w:rPr>
          <w:rFonts w:hint="eastAsia" w:ascii="宋体" w:hAnsi="宋体" w:eastAsia="宋体" w:cs="宋体"/>
          <w:color w:val="000000" w:themeColor="text1"/>
          <w:sz w:val="32"/>
          <w:szCs w:val="32"/>
        </w:rPr>
        <w:t>根据镇（街道）人口规模与发展实际，满足公共服务的多样化需求，结合轨道站点规划地区级中心，兼顾镇（街道）服务中心职能。</w:t>
      </w:r>
    </w:p>
    <w:p w14:paraId="29DE6056">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社区中心。</w:t>
      </w:r>
      <w:r>
        <w:rPr>
          <w:rFonts w:hint="eastAsia" w:ascii="宋体" w:hAnsi="宋体" w:eastAsia="宋体" w:cs="宋体"/>
          <w:color w:val="000000" w:themeColor="text1"/>
          <w:sz w:val="32"/>
          <w:szCs w:val="32"/>
        </w:rPr>
        <w:t>围绕城乡生活圈打造社区中心，保障基本公共服务设施需求。</w:t>
      </w:r>
    </w:p>
    <w:p w14:paraId="56401ED8">
      <w:pPr>
        <w:pStyle w:val="3"/>
        <w:numPr>
          <w:ilvl w:val="0"/>
          <w:numId w:val="7"/>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155" w:name="_Toc8579"/>
      <w:bookmarkStart w:id="156" w:name="_Toc185189073"/>
      <w:r>
        <w:rPr>
          <w:rFonts w:hint="eastAsia" w:ascii="宋体" w:hAnsi="宋体" w:eastAsia="宋体" w:cs="宋体"/>
          <w:b w:val="0"/>
          <w:bCs w:val="0"/>
          <w:color w:val="000000" w:themeColor="text1"/>
        </w:rPr>
        <w:t>中心城区功能布局</w:t>
      </w:r>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0919E807">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规划分区</w:t>
      </w:r>
    </w:p>
    <w:p w14:paraId="66E93FFC">
      <w:pPr>
        <w:pStyle w:val="35"/>
        <w:autoSpaceDE w:val="0"/>
        <w:autoSpaceDN w:val="0"/>
        <w:adjustRightInd w:val="0"/>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在中心城区划分生态保护区、生态控制区、农田保护区、城镇发展区和乡村发展区</w:t>
      </w:r>
      <w:r>
        <w:rPr>
          <w:rFonts w:hint="eastAsia" w:ascii="宋体" w:hAnsi="宋体" w:eastAsia="宋体" w:cs="宋体"/>
          <w:color w:val="000000" w:themeColor="text1"/>
          <w:sz w:val="32"/>
          <w:szCs w:val="32"/>
        </w:rPr>
        <w:t>5</w:t>
      </w:r>
      <w:r>
        <w:rPr>
          <w:rFonts w:hint="eastAsia" w:ascii="宋体" w:hAnsi="宋体" w:eastAsia="宋体" w:cs="宋体"/>
          <w:color w:val="000000" w:themeColor="text1"/>
          <w:sz w:val="32"/>
          <w:szCs w:val="32"/>
        </w:rPr>
        <w:t>类一级规划分区。其中城镇发展区、乡村发展区进一步细化至二级规划分区，对城乡功能的空间布局进行结构化控制。各类规划分区内鼓励土地混合使用，提高用地复合性，可在下层次国土空间规划中结合发展需要，优化细化功能构成和用地空间布局，确定规划用地分类和混合使用规则，进行精细化管理。</w:t>
      </w:r>
    </w:p>
    <w:p w14:paraId="4DA768B2">
      <w:pPr>
        <w:pStyle w:val="35"/>
        <w:numPr>
          <w:ilvl w:val="255"/>
          <w:numId w:val="0"/>
        </w:numPr>
        <w:autoSpaceDE w:val="0"/>
        <w:autoSpaceDN w:val="0"/>
        <w:adjustRightInd w:val="0"/>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1</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城镇发展区</w:t>
      </w:r>
    </w:p>
    <w:p w14:paraId="4A5B799F">
      <w:pPr>
        <w:pStyle w:val="35"/>
        <w:numPr>
          <w:ilvl w:val="255"/>
          <w:numId w:val="0"/>
        </w:numPr>
        <w:autoSpaceDE w:val="0"/>
        <w:autoSpaceDN w:val="0"/>
        <w:adjustRightInd w:val="0"/>
        <w:snapToGrid w:val="0"/>
        <w:spacing w:before="0" w:beforeAutospacing="0" w:after="0" w:afterAutospacing="0" w:line="600" w:lineRule="exact"/>
        <w:ind w:firstLine="640" w:firstLineChars="200"/>
        <w:jc w:val="both"/>
        <w:rPr>
          <w:rFonts w:hint="eastAsia" w:ascii="宋体" w:hAnsi="宋体" w:eastAsia="宋体" w:cs="宋体"/>
          <w:bCs/>
          <w:color w:val="000000" w:themeColor="text1"/>
          <w:sz w:val="32"/>
          <w:szCs w:val="32"/>
        </w:rPr>
      </w:pPr>
      <w:r>
        <w:rPr>
          <w:rFonts w:hint="eastAsia" w:ascii="宋体" w:hAnsi="宋体" w:eastAsia="宋体" w:cs="宋体"/>
          <w:color w:val="000000" w:themeColor="text1"/>
          <w:sz w:val="32"/>
          <w:szCs w:val="32"/>
        </w:rPr>
        <w:t>城镇发展区细化至居住生活区、综合服务区、商业商务区、工业发展区、物流仓储区、绿地休闲区、交通枢纽区和其他用途区。</w:t>
      </w:r>
    </w:p>
    <w:p w14:paraId="4B0FB90F">
      <w:pPr>
        <w:pStyle w:val="35"/>
        <w:autoSpaceDE w:val="0"/>
        <w:autoSpaceDN w:val="0"/>
        <w:adjustRightInd w:val="0"/>
        <w:snapToGrid w:val="0"/>
        <w:spacing w:before="0" w:beforeAutospacing="0" w:after="0" w:afterAutospacing="0" w:line="600" w:lineRule="exact"/>
        <w:ind w:firstLine="643" w:firstLineChars="200"/>
        <w:jc w:val="both"/>
        <w:rPr>
          <w:rFonts w:hint="eastAsia" w:ascii="宋体" w:hAnsi="宋体" w:eastAsia="宋体" w:cs="宋体"/>
          <w:bCs/>
          <w:color w:val="000000" w:themeColor="text1"/>
          <w:sz w:val="32"/>
          <w:szCs w:val="32"/>
        </w:rPr>
      </w:pPr>
      <w:r>
        <w:rPr>
          <w:rFonts w:hint="eastAsia" w:ascii="宋体" w:hAnsi="宋体" w:eastAsia="宋体" w:cs="宋体"/>
          <w:b/>
          <w:color w:val="000000" w:themeColor="text1"/>
          <w:sz w:val="32"/>
          <w:szCs w:val="32"/>
        </w:rPr>
        <w:t>居住生活区。</w:t>
      </w:r>
      <w:r>
        <w:rPr>
          <w:rFonts w:hint="eastAsia" w:ascii="宋体" w:hAnsi="宋体" w:eastAsia="宋体" w:cs="宋体"/>
          <w:bCs/>
          <w:color w:val="000000" w:themeColor="text1"/>
          <w:sz w:val="32"/>
          <w:szCs w:val="32"/>
        </w:rPr>
        <w:t>主要布局住宅和社区配套设施，可兼容布局商业服务业用地、科研用地、交通运输用地、公用设施用地、绿地与开敞空间用地，禁止新增对环境有影响的工业用地和物流仓储用地。引导生活服务类功能集聚，低效工业用地、物流仓储用地逐步退出。</w:t>
      </w:r>
    </w:p>
    <w:p w14:paraId="42A50106">
      <w:pPr>
        <w:pStyle w:val="35"/>
        <w:autoSpaceDE w:val="0"/>
        <w:autoSpaceDN w:val="0"/>
        <w:adjustRightInd w:val="0"/>
        <w:snapToGrid w:val="0"/>
        <w:spacing w:before="0" w:beforeAutospacing="0" w:after="0" w:afterAutospacing="0" w:line="600" w:lineRule="exact"/>
        <w:ind w:firstLine="643" w:firstLineChars="200"/>
        <w:jc w:val="both"/>
        <w:rPr>
          <w:rFonts w:hint="eastAsia" w:ascii="宋体" w:hAnsi="宋体" w:eastAsia="宋体" w:cs="宋体"/>
          <w:bCs/>
          <w:color w:val="000000" w:themeColor="text1"/>
          <w:sz w:val="32"/>
          <w:szCs w:val="32"/>
        </w:rPr>
      </w:pPr>
      <w:r>
        <w:rPr>
          <w:rFonts w:hint="eastAsia" w:ascii="宋体" w:hAnsi="宋体" w:eastAsia="宋体" w:cs="宋体"/>
          <w:b/>
          <w:bCs/>
          <w:color w:val="000000" w:themeColor="text1"/>
          <w:sz w:val="32"/>
          <w:szCs w:val="32"/>
        </w:rPr>
        <w:t>综合服务区。</w:t>
      </w:r>
      <w:r>
        <w:rPr>
          <w:rFonts w:hint="eastAsia" w:ascii="宋体" w:hAnsi="宋体" w:eastAsia="宋体" w:cs="宋体"/>
          <w:bCs/>
          <w:color w:val="000000" w:themeColor="text1"/>
          <w:sz w:val="32"/>
          <w:szCs w:val="32"/>
        </w:rPr>
        <w:t>主要布局行政服务、文化、教育、医疗卫生等设施，可兼容布局居住用地、交通运输用地、公用设施用地和绿地与开敞空间用地，禁止新增对环境有影响的工矿用地和仓储用地。</w:t>
      </w:r>
    </w:p>
    <w:p w14:paraId="5B7F1587">
      <w:pPr>
        <w:pStyle w:val="35"/>
        <w:autoSpaceDE w:val="0"/>
        <w:autoSpaceDN w:val="0"/>
        <w:adjustRightInd w:val="0"/>
        <w:snapToGrid w:val="0"/>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商业商务区。</w:t>
      </w:r>
      <w:r>
        <w:rPr>
          <w:rFonts w:hint="eastAsia" w:ascii="宋体" w:hAnsi="宋体" w:eastAsia="宋体" w:cs="宋体"/>
          <w:bCs/>
          <w:color w:val="000000" w:themeColor="text1"/>
          <w:sz w:val="32"/>
          <w:szCs w:val="32"/>
        </w:rPr>
        <w:t>主要布局生活性和生产性服务配套设施，</w:t>
      </w:r>
      <w:r>
        <w:rPr>
          <w:rFonts w:hint="eastAsia" w:ascii="宋体" w:hAnsi="宋体" w:eastAsia="宋体" w:cs="宋体"/>
          <w:color w:val="000000" w:themeColor="text1"/>
          <w:sz w:val="32"/>
          <w:szCs w:val="32"/>
        </w:rPr>
        <w:t>可兼容布局居住用地、公共管理与公共服务用地。</w:t>
      </w:r>
      <w:r>
        <w:rPr>
          <w:rFonts w:hint="eastAsia" w:ascii="宋体" w:hAnsi="宋体" w:eastAsia="宋体" w:cs="宋体"/>
          <w:bCs/>
          <w:color w:val="000000" w:themeColor="text1"/>
          <w:sz w:val="32"/>
          <w:szCs w:val="32"/>
        </w:rPr>
        <w:t>各级商业商务区根据地区人口规模提供综合配套服务功能，实现公共服务、商业配套和就业岗</w:t>
      </w:r>
      <w:r>
        <w:rPr>
          <w:rFonts w:hint="eastAsia" w:ascii="宋体" w:hAnsi="宋体" w:eastAsia="宋体" w:cs="宋体"/>
          <w:color w:val="000000" w:themeColor="text1"/>
          <w:sz w:val="32"/>
          <w:szCs w:val="32"/>
        </w:rPr>
        <w:t>位均衡化布局、混合布局。</w:t>
      </w:r>
    </w:p>
    <w:p w14:paraId="3742F679">
      <w:pPr>
        <w:pStyle w:val="35"/>
        <w:autoSpaceDE w:val="0"/>
        <w:autoSpaceDN w:val="0"/>
        <w:adjustRightInd w:val="0"/>
        <w:snapToGrid w:val="0"/>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工业发展区。</w:t>
      </w:r>
      <w:r>
        <w:rPr>
          <w:rFonts w:hint="eastAsia" w:ascii="宋体" w:hAnsi="宋体" w:eastAsia="宋体" w:cs="宋体"/>
          <w:bCs/>
          <w:color w:val="000000" w:themeColor="text1"/>
          <w:sz w:val="32"/>
          <w:szCs w:val="32"/>
        </w:rPr>
        <w:t>主要布局工业、生产性研发及其配套设施，以工业用地为主，科研用地等为辅。可兼容布局居住、商业、道路、市政等为企业生产服务配套的功能，需满足生产用地与其他用地的安全防护、卫生隔离要求。禁止大规模商品住宅建设和商业开发。</w:t>
      </w:r>
    </w:p>
    <w:p w14:paraId="3789E208">
      <w:pPr>
        <w:pStyle w:val="35"/>
        <w:autoSpaceDE w:val="0"/>
        <w:autoSpaceDN w:val="0"/>
        <w:adjustRightInd w:val="0"/>
        <w:snapToGrid w:val="0"/>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物流仓储区。</w:t>
      </w:r>
      <w:r>
        <w:rPr>
          <w:rFonts w:hint="eastAsia" w:ascii="宋体" w:hAnsi="宋体" w:eastAsia="宋体" w:cs="宋体"/>
          <w:bCs/>
          <w:color w:val="000000" w:themeColor="text1"/>
          <w:sz w:val="32"/>
          <w:szCs w:val="32"/>
        </w:rPr>
        <w:t>主要布局物流仓储、批发市场和货运场站，可兼容布局商业服务业用地及交通运输用地、公用设施用地。禁止新布局危险品仓储设施，现有危化品仓库应按相关规范做好防护并逐步实施搬迁。</w:t>
      </w:r>
    </w:p>
    <w:p w14:paraId="40C43239">
      <w:pPr>
        <w:pStyle w:val="35"/>
        <w:autoSpaceDE w:val="0"/>
        <w:autoSpaceDN w:val="0"/>
        <w:adjustRightInd w:val="0"/>
        <w:snapToGrid w:val="0"/>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绿地休闲区。</w:t>
      </w:r>
      <w:r>
        <w:rPr>
          <w:rFonts w:hint="eastAsia" w:ascii="宋体" w:hAnsi="宋体" w:eastAsia="宋体" w:cs="宋体"/>
          <w:bCs/>
          <w:color w:val="000000" w:themeColor="text1"/>
          <w:sz w:val="32"/>
          <w:szCs w:val="32"/>
        </w:rPr>
        <w:t>主要布局公园、广场、滨水开放空间、体育、娱乐等，可兼容布局交通运输用地、公用设施用地、公共管理与公共服务用地、商业服务业用地。禁止布局居住用地、工业用地、物流仓储用地。</w:t>
      </w:r>
    </w:p>
    <w:p w14:paraId="1A15686B">
      <w:pPr>
        <w:pStyle w:val="35"/>
        <w:autoSpaceDE w:val="0"/>
        <w:autoSpaceDN w:val="0"/>
        <w:adjustRightInd w:val="0"/>
        <w:snapToGrid w:val="0"/>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交通枢纽区。</w:t>
      </w:r>
      <w:r>
        <w:rPr>
          <w:rFonts w:hint="eastAsia" w:ascii="宋体" w:hAnsi="宋体" w:eastAsia="宋体" w:cs="宋体"/>
          <w:bCs/>
          <w:color w:val="000000" w:themeColor="text1"/>
          <w:sz w:val="32"/>
          <w:szCs w:val="32"/>
        </w:rPr>
        <w:t>主要布局大型交通设施，可兼容布局与交通枢纽关联性较强的仓储用地、商业服务业用地、居住用地等，鼓励站城融合的立体开发模式。按照卫生隔离、安全防护要求设置绿化隔离空间。</w:t>
      </w:r>
    </w:p>
    <w:p w14:paraId="37459470">
      <w:pPr>
        <w:pStyle w:val="35"/>
        <w:autoSpaceDE w:val="0"/>
        <w:autoSpaceDN w:val="0"/>
        <w:adjustRightInd w:val="0"/>
        <w:snapToGrid w:val="0"/>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其他用途区。</w:t>
      </w:r>
      <w:r>
        <w:rPr>
          <w:rFonts w:hint="eastAsia" w:ascii="宋体" w:hAnsi="宋体" w:eastAsia="宋体" w:cs="宋体"/>
          <w:color w:val="000000" w:themeColor="text1"/>
          <w:sz w:val="32"/>
          <w:szCs w:val="32"/>
        </w:rPr>
        <w:t>主要包括城镇开发边界内殡葬等特殊用地。</w:t>
      </w:r>
    </w:p>
    <w:p w14:paraId="25C941B7">
      <w:pPr>
        <w:pStyle w:val="35"/>
        <w:autoSpaceDE w:val="0"/>
        <w:autoSpaceDN w:val="0"/>
        <w:adjustRightInd w:val="0"/>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2</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乡村发展区</w:t>
      </w:r>
    </w:p>
    <w:p w14:paraId="483D84E1">
      <w:pPr>
        <w:pStyle w:val="35"/>
        <w:autoSpaceDE w:val="0"/>
        <w:autoSpaceDN w:val="0"/>
        <w:adjustRightInd w:val="0"/>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乡村发展区细化至村庄建设区、一般农业区和其他建设区。</w:t>
      </w:r>
    </w:p>
    <w:p w14:paraId="6A713FCA">
      <w:pPr>
        <w:pStyle w:val="35"/>
        <w:autoSpaceDE w:val="0"/>
        <w:autoSpaceDN w:val="0"/>
        <w:adjustRightInd w:val="0"/>
        <w:snapToGrid w:val="0"/>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村庄建设区。</w:t>
      </w:r>
      <w:r>
        <w:rPr>
          <w:rFonts w:hint="eastAsia" w:ascii="宋体" w:hAnsi="宋体" w:eastAsia="宋体" w:cs="宋体"/>
          <w:color w:val="000000" w:themeColor="text1"/>
          <w:sz w:val="32"/>
          <w:szCs w:val="32"/>
        </w:rPr>
        <w:t>包括规划重点发展的村庄、保留现状不再扩大规模的村庄和为促进乡村振兴而预留的农村一二三产业融合发展用地。</w:t>
      </w:r>
    </w:p>
    <w:p w14:paraId="3F5E484C">
      <w:pPr>
        <w:pStyle w:val="35"/>
        <w:autoSpaceDE w:val="0"/>
        <w:autoSpaceDN w:val="0"/>
        <w:adjustRightInd w:val="0"/>
        <w:snapToGrid w:val="0"/>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一般农业区。</w:t>
      </w:r>
      <w:r>
        <w:rPr>
          <w:rFonts w:hint="eastAsia" w:ascii="宋体" w:hAnsi="宋体" w:eastAsia="宋体" w:cs="宋体"/>
          <w:color w:val="000000" w:themeColor="text1"/>
          <w:sz w:val="32"/>
          <w:szCs w:val="32"/>
        </w:rPr>
        <w:t>包括以农业生产发展为主要功能导向的区域。</w:t>
      </w:r>
    </w:p>
    <w:p w14:paraId="625769B5">
      <w:pPr>
        <w:pStyle w:val="35"/>
        <w:autoSpaceDE w:val="0"/>
        <w:autoSpaceDN w:val="0"/>
        <w:adjustRightInd w:val="0"/>
        <w:snapToGrid w:val="0"/>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其他建设区。</w:t>
      </w:r>
      <w:r>
        <w:rPr>
          <w:rFonts w:hint="eastAsia" w:ascii="宋体" w:hAnsi="宋体" w:eastAsia="宋体" w:cs="宋体"/>
          <w:color w:val="000000" w:themeColor="text1"/>
          <w:sz w:val="32"/>
          <w:szCs w:val="32"/>
        </w:rPr>
        <w:t>主要指城镇开发边界外、除村庄建设区以外的其他建设用地集中区域，包括零散分布的宗教、殡葬、文物古迹等特殊用地，公用设施用地和交通运输用地等。</w:t>
      </w:r>
    </w:p>
    <w:p w14:paraId="0040251C">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用途分类</w:t>
      </w:r>
    </w:p>
    <w:p w14:paraId="06A02645">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依据规划分区，明确规划用途分类，优化建设用地结构，适度增加居住用地，提高绿地与开敞空间用地比例，改善城市环境品质，提高宜居水平。提高交通运输用地比例，保障出行便捷。适当减少工矿用地和仓储用地，推动低效产业转型升级。中心城区土地使用规划图所示的土地使用，不作为国土空间用途管制、规划许可及监督管理的直接依据。具体地块的土地使用性质、开发强度、用地边界和用地兼容等管控要求在详细规划中确定，按照法定程序审批后，作为规划实施和监管的法定依据。</w:t>
      </w:r>
    </w:p>
    <w:p w14:paraId="360AFD5D">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居住用地。</w:t>
      </w:r>
      <w:r>
        <w:rPr>
          <w:rFonts w:hint="eastAsia" w:ascii="宋体" w:hAnsi="宋体" w:eastAsia="宋体" w:cs="宋体"/>
          <w:color w:val="000000" w:themeColor="text1"/>
          <w:sz w:val="32"/>
          <w:szCs w:val="32"/>
        </w:rPr>
        <w:t>优化居住空间布局，重点在太湖新城区、新吴片区和惠山片区新增居住用地供给。</w:t>
      </w:r>
    </w:p>
    <w:p w14:paraId="5629AFD7">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公共管理与公共服务用地。</w:t>
      </w:r>
      <w:r>
        <w:rPr>
          <w:rFonts w:hint="eastAsia" w:ascii="宋体" w:hAnsi="宋体" w:eastAsia="宋体" w:cs="宋体"/>
          <w:color w:val="000000" w:themeColor="text1"/>
          <w:sz w:val="32"/>
          <w:szCs w:val="32"/>
        </w:rPr>
        <w:t>结合中心体系、居住人口分布和公共设施配置要求，统筹布局文化、体育、教育、医疗等公共服务设施用地，引导高等级公共服务设施向梁溪城区核心、太湖新城区核心、蠡湖未来城等中心地区集聚。</w:t>
      </w:r>
    </w:p>
    <w:p w14:paraId="2FF033A7">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商业服务业用地。</w:t>
      </w:r>
      <w:r>
        <w:rPr>
          <w:rFonts w:hint="eastAsia" w:ascii="宋体" w:hAnsi="宋体" w:eastAsia="宋体" w:cs="宋体"/>
          <w:color w:val="000000" w:themeColor="text1"/>
          <w:sz w:val="32"/>
          <w:szCs w:val="32"/>
        </w:rPr>
        <w:t>结合商业网点，重点在各级商业中心增加商业、商务办公、会议会展等功能，在高等院校、科研院所和创新载体增加文化创意、科技研发、转化孵化等功能。</w:t>
      </w:r>
    </w:p>
    <w:p w14:paraId="6930E017">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工矿用地与仓储用地。</w:t>
      </w:r>
      <w:r>
        <w:rPr>
          <w:rFonts w:hint="eastAsia" w:ascii="宋体" w:hAnsi="宋体" w:eastAsia="宋体" w:cs="宋体"/>
          <w:color w:val="000000" w:themeColor="text1"/>
          <w:sz w:val="32"/>
          <w:szCs w:val="32"/>
        </w:rPr>
        <w:t>腾退低效零散工矿用地，推动高新技术产业、先进制造业及战略性新兴产业向工业用地控制线内集中布局。</w:t>
      </w:r>
    </w:p>
    <w:p w14:paraId="0A993E10">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绿地与开敞空间用地。</w:t>
      </w:r>
      <w:r>
        <w:rPr>
          <w:rFonts w:hint="eastAsia" w:ascii="宋体" w:hAnsi="宋体" w:eastAsia="宋体" w:cs="宋体"/>
          <w:color w:val="000000" w:themeColor="text1"/>
          <w:sz w:val="32"/>
          <w:szCs w:val="32"/>
        </w:rPr>
        <w:t>优化蓝绿空间网络，均衡绿地公园布局，因地制宜增加游园和街头绿地，重点在大运河、梁溪河、伯渎港等水系沿线增加绿地与开敞空间。</w:t>
      </w:r>
    </w:p>
    <w:p w14:paraId="333038D1">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交通运输用地。</w:t>
      </w:r>
      <w:r>
        <w:rPr>
          <w:rFonts w:hint="eastAsia" w:ascii="宋体" w:hAnsi="宋体" w:eastAsia="宋体" w:cs="宋体"/>
          <w:color w:val="000000" w:themeColor="text1"/>
          <w:sz w:val="32"/>
          <w:szCs w:val="32"/>
        </w:rPr>
        <w:t>保障铁路、公路、次干路以上的城镇道路，以及重要交通枢纽、交通场站等用地。</w:t>
      </w:r>
    </w:p>
    <w:p w14:paraId="4733DD78">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公用设施用地。</w:t>
      </w:r>
      <w:r>
        <w:rPr>
          <w:rFonts w:hint="eastAsia" w:ascii="宋体" w:hAnsi="宋体" w:eastAsia="宋体" w:cs="宋体"/>
          <w:color w:val="000000" w:themeColor="text1"/>
          <w:sz w:val="32"/>
          <w:szCs w:val="32"/>
        </w:rPr>
        <w:t>提高综合服务和防灾减灾救灾能力，保障各级各类公用设施配套用地需求。</w:t>
      </w:r>
    </w:p>
    <w:p w14:paraId="517E5E69">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特殊用地。</w:t>
      </w:r>
      <w:r>
        <w:rPr>
          <w:rFonts w:hint="eastAsia" w:ascii="宋体" w:hAnsi="宋体" w:eastAsia="宋体" w:cs="宋体"/>
          <w:color w:val="000000" w:themeColor="text1"/>
          <w:sz w:val="32"/>
          <w:szCs w:val="32"/>
        </w:rPr>
        <w:t>保留惠山周边现状特殊用地，明确各类特殊用地布局。</w:t>
      </w:r>
    </w:p>
    <w:p w14:paraId="15A5AF54">
      <w:pPr>
        <w:pStyle w:val="3"/>
        <w:numPr>
          <w:ilvl w:val="0"/>
          <w:numId w:val="7"/>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157" w:name="_Toc176945818"/>
      <w:bookmarkStart w:id="158" w:name="_Toc11099"/>
      <w:bookmarkStart w:id="159" w:name="_Toc185189079"/>
      <w:r>
        <w:rPr>
          <w:rFonts w:hint="eastAsia" w:ascii="宋体" w:hAnsi="宋体" w:eastAsia="宋体" w:cs="宋体"/>
          <w:b w:val="0"/>
          <w:bCs w:val="0"/>
          <w:color w:val="000000" w:themeColor="text1"/>
        </w:rPr>
        <w:t>中心城区公共服务与居住空间</w:t>
      </w:r>
      <w:bookmarkEnd w:id="157"/>
      <w:bookmarkEnd w:id="158"/>
      <w:bookmarkEnd w:id="159"/>
    </w:p>
    <w:p w14:paraId="46FF1279">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公共服务设施</w:t>
      </w:r>
    </w:p>
    <w:p w14:paraId="148026E6">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教育设施。</w:t>
      </w:r>
      <w:r>
        <w:rPr>
          <w:rFonts w:hint="eastAsia" w:ascii="宋体" w:hAnsi="宋体" w:eastAsia="宋体" w:cs="宋体"/>
          <w:color w:val="000000" w:themeColor="text1"/>
          <w:sz w:val="32"/>
          <w:szCs w:val="32"/>
        </w:rPr>
        <w:t>保留江南大学（蠡湖校区）、无锡太湖学院</w:t>
      </w:r>
      <w:r>
        <w:rPr>
          <w:rFonts w:hint="eastAsia" w:ascii="宋体" w:hAnsi="宋体" w:eastAsia="宋体" w:cs="宋体"/>
          <w:color w:val="000000" w:themeColor="text1"/>
          <w:sz w:val="32"/>
          <w:szCs w:val="32"/>
        </w:rPr>
        <w:t>2</w:t>
      </w:r>
      <w:r>
        <w:rPr>
          <w:rFonts w:hint="eastAsia" w:ascii="宋体" w:hAnsi="宋体" w:eastAsia="宋体" w:cs="宋体"/>
          <w:color w:val="000000" w:themeColor="text1"/>
          <w:sz w:val="32"/>
          <w:szCs w:val="32"/>
        </w:rPr>
        <w:t>所大学。保留无锡职业技术学院、无锡机电高等职业技术学校等</w:t>
      </w:r>
      <w:r>
        <w:rPr>
          <w:rFonts w:hint="eastAsia" w:ascii="宋体" w:hAnsi="宋体" w:eastAsia="宋体" w:cs="宋体"/>
          <w:color w:val="000000" w:themeColor="text1"/>
          <w:sz w:val="32"/>
          <w:szCs w:val="32"/>
        </w:rPr>
        <w:t>8</w:t>
      </w:r>
      <w:r>
        <w:rPr>
          <w:rFonts w:hint="eastAsia" w:ascii="宋体" w:hAnsi="宋体" w:eastAsia="宋体" w:cs="宋体"/>
          <w:color w:val="000000" w:themeColor="text1"/>
          <w:sz w:val="32"/>
          <w:szCs w:val="32"/>
        </w:rPr>
        <w:t>所职业院校，保障新增无锡市锡山中等专业学校的空间需求。保留第一中学、辅仁高级中学、第三高级中学等</w:t>
      </w:r>
      <w:r>
        <w:rPr>
          <w:rFonts w:hint="eastAsia" w:ascii="宋体" w:hAnsi="宋体" w:eastAsia="宋体" w:cs="宋体"/>
          <w:color w:val="000000" w:themeColor="text1"/>
          <w:sz w:val="32"/>
          <w:szCs w:val="32"/>
        </w:rPr>
        <w:t>15</w:t>
      </w:r>
      <w:r>
        <w:rPr>
          <w:rFonts w:hint="eastAsia" w:ascii="宋体" w:hAnsi="宋体" w:eastAsia="宋体" w:cs="宋体"/>
          <w:color w:val="000000" w:themeColor="text1"/>
          <w:sz w:val="32"/>
          <w:szCs w:val="32"/>
        </w:rPr>
        <w:t>所高中，保障第一中学梁溪分校、第一中学太湖新城分校、西漳地区规划高中等新增高中的空间需求。完善特殊教育设施布局，保障易地新建市特殊教育学校的空间需求。推进幼儿园、小学和初中均衡布局，保证适龄幼儿和学生就近入学。</w:t>
      </w:r>
    </w:p>
    <w:p w14:paraId="43BEEDF0">
      <w:pPr>
        <w:spacing w:line="600" w:lineRule="exact"/>
        <w:ind w:firstLine="643" w:firstLineChars="200"/>
        <w:rPr>
          <w:rFonts w:hint="eastAsia" w:ascii="宋体" w:hAnsi="宋体" w:eastAsia="宋体" w:cs="宋体"/>
          <w:b/>
          <w:color w:val="000000" w:themeColor="text1"/>
          <w:sz w:val="32"/>
          <w:szCs w:val="32"/>
        </w:rPr>
      </w:pPr>
      <w:r>
        <w:rPr>
          <w:rFonts w:hint="eastAsia" w:ascii="宋体" w:hAnsi="宋体" w:eastAsia="宋体" w:cs="宋体"/>
          <w:b/>
          <w:color w:val="000000" w:themeColor="text1"/>
          <w:sz w:val="32"/>
          <w:szCs w:val="32"/>
        </w:rPr>
        <w:t>文化设施。</w:t>
      </w:r>
      <w:r>
        <w:rPr>
          <w:rFonts w:hint="eastAsia" w:ascii="宋体" w:hAnsi="宋体" w:eastAsia="宋体" w:cs="宋体"/>
          <w:color w:val="000000" w:themeColor="text1"/>
          <w:sz w:val="32"/>
          <w:szCs w:val="32"/>
        </w:rPr>
        <w:t>保留市图书馆、无锡博物院、市大剧院、市太湖国际博览中心、市少年宫、市工人文化宫等市级公共文化设施，保障无锡美术馆、太湖湾国际文化艺术中心（市交响音乐厅）、市公共文化艺术发展中心、市国际会议中心、市城建博物馆等新增市级公共文化设施的空间需求。</w:t>
      </w:r>
    </w:p>
    <w:p w14:paraId="5CACD994">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体育设施。</w:t>
      </w:r>
      <w:r>
        <w:rPr>
          <w:rFonts w:hint="eastAsia" w:ascii="宋体" w:hAnsi="宋体" w:eastAsia="宋体" w:cs="宋体"/>
          <w:color w:val="000000" w:themeColor="text1"/>
          <w:sz w:val="32"/>
          <w:szCs w:val="32"/>
        </w:rPr>
        <w:t>保留市棒球运动训练基地等市级体育设施，保障市跆拳道网球中心、市城北体育公园、市梁塘河体育公园</w:t>
      </w:r>
      <w:r>
        <w:rPr>
          <w:rFonts w:hint="eastAsia" w:ascii="宋体" w:hAnsi="宋体" w:eastAsia="宋体" w:cs="宋体"/>
          <w:color w:val="000000" w:themeColor="text1"/>
          <w:sz w:val="32"/>
          <w:szCs w:val="32"/>
          <w:lang w:eastAsia="zh-CN"/>
        </w:rPr>
        <w:t>等</w:t>
      </w:r>
      <w:r>
        <w:rPr>
          <w:rFonts w:hint="eastAsia" w:ascii="宋体" w:hAnsi="宋体" w:eastAsia="宋体" w:cs="宋体"/>
          <w:color w:val="000000" w:themeColor="text1"/>
          <w:sz w:val="32"/>
          <w:szCs w:val="32"/>
        </w:rPr>
        <w:t>新增市级体育设施及无锡市体育中心、蠡湖水上运动基地等现状体育设施提升改造的用地需求。</w:t>
      </w:r>
    </w:p>
    <w:p w14:paraId="16B1AA92">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医疗卫生设施。</w:t>
      </w:r>
      <w:r>
        <w:rPr>
          <w:rFonts w:hint="eastAsia" w:ascii="宋体" w:hAnsi="宋体" w:eastAsia="宋体" w:cs="宋体"/>
          <w:color w:val="000000" w:themeColor="text1"/>
          <w:sz w:val="32"/>
          <w:szCs w:val="32"/>
        </w:rPr>
        <w:t>优化医疗卫生设施空间布局，保留市人民医院、市中医医院、市骨科医院（市第九人民医院）等市级医疗卫生设施，保障市妇女儿童医疗保健中心、市公共卫生临床救治中心、惠山新城医院</w:t>
      </w:r>
      <w:r>
        <w:rPr>
          <w:rFonts w:hint="eastAsia" w:ascii="宋体" w:hAnsi="宋体" w:eastAsia="宋体" w:cs="宋体"/>
          <w:color w:val="000000" w:themeColor="text1"/>
          <w:sz w:val="32"/>
          <w:szCs w:val="32"/>
          <w:lang w:eastAsia="zh-CN"/>
        </w:rPr>
        <w:t>等</w:t>
      </w:r>
      <w:r>
        <w:rPr>
          <w:rFonts w:hint="eastAsia" w:ascii="宋体" w:hAnsi="宋体" w:eastAsia="宋体" w:cs="宋体"/>
          <w:color w:val="000000" w:themeColor="text1"/>
          <w:sz w:val="32"/>
          <w:szCs w:val="32"/>
        </w:rPr>
        <w:t>新增市级医疗卫生设施及市第二人民医院北院、江南大学附属医院北院区、市精神卫生中心等现状市级医疗卫生设施提升改造的用地需求。加强院前医疗急救站（点）以及献血屋（点）、中心血库（储血点）等采供血设施的空间</w:t>
      </w:r>
      <w:r>
        <w:rPr>
          <w:rFonts w:hint="eastAsia" w:ascii="宋体" w:hAnsi="宋体" w:eastAsia="宋体" w:cs="宋体"/>
          <w:color w:val="000000" w:themeColor="text1"/>
          <w:sz w:val="32"/>
          <w:szCs w:val="32"/>
        </w:rPr>
        <w:t>保障</w:t>
      </w:r>
      <w:r>
        <w:rPr>
          <w:rFonts w:hint="eastAsia" w:ascii="宋体" w:hAnsi="宋体" w:eastAsia="宋体" w:cs="宋体"/>
          <w:color w:val="000000" w:themeColor="text1"/>
          <w:sz w:val="32"/>
          <w:szCs w:val="32"/>
        </w:rPr>
        <w:t>。建立健全社会心理服务体系，依托社区设立心理咨询室或社会工作室，保障市级和区级未成年人心理辅导中心的用地需求。</w:t>
      </w:r>
    </w:p>
    <w:p w14:paraId="095E2853">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社会福利设施。</w:t>
      </w:r>
      <w:r>
        <w:rPr>
          <w:rFonts w:hint="eastAsia" w:ascii="宋体" w:hAnsi="宋体" w:eastAsia="宋体" w:cs="宋体"/>
          <w:color w:val="000000" w:themeColor="text1"/>
          <w:sz w:val="32"/>
          <w:szCs w:val="32"/>
        </w:rPr>
        <w:t>保留市社会福利中心、市荣军老年养护院、市老年人托养中心等市级社会福利设施，保障经开养老中心等</w:t>
      </w:r>
      <w:r>
        <w:rPr>
          <w:rFonts w:hint="eastAsia" w:ascii="宋体" w:hAnsi="宋体" w:eastAsia="宋体" w:cs="宋体"/>
          <w:color w:val="000000" w:themeColor="text1"/>
          <w:sz w:val="32"/>
          <w:szCs w:val="32"/>
        </w:rPr>
        <w:t>新增</w:t>
      </w:r>
      <w:r>
        <w:rPr>
          <w:rFonts w:hint="eastAsia" w:ascii="宋体" w:hAnsi="宋体" w:eastAsia="宋体" w:cs="宋体"/>
          <w:color w:val="000000" w:themeColor="text1"/>
          <w:sz w:val="32"/>
          <w:szCs w:val="32"/>
        </w:rPr>
        <w:t>市级社会福利设施的用地需求。支持现状社会福利设施的提升改造。</w:t>
      </w:r>
    </w:p>
    <w:p w14:paraId="3767517A">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商业中心体系</w:t>
      </w:r>
    </w:p>
    <w:p w14:paraId="7D34C7CE">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城市商业中心。</w:t>
      </w:r>
      <w:r>
        <w:rPr>
          <w:rFonts w:hint="eastAsia" w:ascii="宋体" w:hAnsi="宋体" w:eastAsia="宋体" w:cs="宋体"/>
          <w:color w:val="000000" w:themeColor="text1"/>
          <w:sz w:val="32"/>
          <w:szCs w:val="32"/>
        </w:rPr>
        <w:t>提升城市核心商圈能级，形成以三阳广场为核心的解放环路商圈和以尚贤河湿地公园两侧区域为核心的太湖新城核心商圈。拓展高端商务、现代商贸、信息服务和创意创新等功能，打造具有区域辐射力的高品质智慧商圈。</w:t>
      </w:r>
    </w:p>
    <w:p w14:paraId="404B646B">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地区级商业中心。</w:t>
      </w:r>
      <w:r>
        <w:rPr>
          <w:rFonts w:hint="eastAsia" w:ascii="宋体" w:hAnsi="宋体" w:eastAsia="宋体" w:cs="宋体"/>
          <w:color w:val="000000" w:themeColor="text1"/>
          <w:sz w:val="32"/>
          <w:szCs w:val="32"/>
        </w:rPr>
        <w:t>提升地区级商业中心吸引力，依托交通枢纽，丰富商业业态，持续完善惠山片区商圈、滨湖河埒商圈、新吴长江北路商圈和锡山荟聚商圈。</w:t>
      </w:r>
    </w:p>
    <w:p w14:paraId="6A76F196">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特色商业街区。</w:t>
      </w:r>
      <w:r>
        <w:rPr>
          <w:rFonts w:hint="eastAsia" w:ascii="宋体" w:hAnsi="宋体" w:eastAsia="宋体" w:cs="宋体"/>
          <w:color w:val="000000" w:themeColor="text1"/>
          <w:sz w:val="32"/>
          <w:szCs w:val="32"/>
        </w:rPr>
        <w:t>打造南长街、阳春巷、惠山古镇、湖滨商业街、南禅寺、大成巷、西水东、崇安寺、荣巷历史文化街区等特色商业街区。布局特色商品、特色餐饮和文化休闲等商业空间，打造业态丰富、类型多元、特色鲜明、场景智能的消费集聚区。</w:t>
      </w:r>
    </w:p>
    <w:p w14:paraId="0E655CCE">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社区便民商业。</w:t>
      </w:r>
      <w:r>
        <w:rPr>
          <w:rFonts w:hint="eastAsia" w:ascii="宋体" w:hAnsi="宋体" w:eastAsia="宋体" w:cs="宋体"/>
          <w:color w:val="000000" w:themeColor="text1"/>
          <w:sz w:val="32"/>
          <w:szCs w:val="32"/>
        </w:rPr>
        <w:t>结合城乡生活圈，完善社区商业服务功能，优化社区公共配套服务设施和标准化菜市场布局，增设口袋公园、街角阅读驿站等功能，布局新型社区消费配套设施。</w:t>
      </w:r>
    </w:p>
    <w:p w14:paraId="0B8D5D20">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优化居住空间</w:t>
      </w:r>
    </w:p>
    <w:p w14:paraId="38F42C52">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合理调控城镇居住用地规模，为住房建设年度计划提供空间保障。梁溪城区适当控制新增居住用地，合理安排太湖新城区新增居住用地供给时序和规模。</w:t>
      </w:r>
      <w:r>
        <w:rPr>
          <w:rFonts w:hint="eastAsia" w:ascii="宋体" w:hAnsi="宋体" w:eastAsia="宋体" w:cs="宋体"/>
          <w:color w:val="000000" w:themeColor="text1"/>
          <w:sz w:val="32"/>
          <w:szCs w:val="32"/>
        </w:rPr>
        <w:t>引导保障性住房用地</w:t>
      </w:r>
      <w:r>
        <w:rPr>
          <w:rFonts w:hint="eastAsia" w:ascii="宋体" w:hAnsi="宋体" w:eastAsia="宋体" w:cs="宋体"/>
          <w:color w:val="000000" w:themeColor="text1"/>
          <w:sz w:val="32"/>
          <w:szCs w:val="32"/>
        </w:rPr>
        <w:t>合理布局，</w:t>
      </w:r>
      <w:r>
        <w:rPr>
          <w:rFonts w:hint="eastAsia" w:ascii="宋体" w:hAnsi="宋体" w:eastAsia="宋体" w:cs="宋体"/>
          <w:color w:val="000000" w:themeColor="text1"/>
          <w:sz w:val="32"/>
          <w:szCs w:val="32"/>
        </w:rPr>
        <w:t>不断拓宽保障性住房用地供应渠道</w:t>
      </w:r>
      <w:r>
        <w:rPr>
          <w:rFonts w:hint="eastAsia" w:ascii="宋体" w:hAnsi="宋体" w:eastAsia="宋体" w:cs="宋体"/>
          <w:color w:val="000000" w:themeColor="text1"/>
          <w:sz w:val="32"/>
          <w:szCs w:val="32"/>
        </w:rPr>
        <w:t>。加强不同类型居住用地的混合布局，提升居住社区公共交通和公共服务设施配套水平。</w:t>
      </w:r>
    </w:p>
    <w:p w14:paraId="466F107D">
      <w:pPr>
        <w:pStyle w:val="3"/>
        <w:numPr>
          <w:ilvl w:val="0"/>
          <w:numId w:val="7"/>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160" w:name="_Toc176945819"/>
      <w:bookmarkStart w:id="161" w:name="_Toc21960"/>
      <w:bookmarkStart w:id="162" w:name="_Toc185189080"/>
      <w:r>
        <w:rPr>
          <w:rFonts w:hint="eastAsia" w:ascii="宋体" w:hAnsi="宋体" w:eastAsia="宋体" w:cs="宋体"/>
          <w:b w:val="0"/>
          <w:bCs w:val="0"/>
          <w:color w:val="000000" w:themeColor="text1"/>
        </w:rPr>
        <w:t>开敞空间</w:t>
      </w:r>
      <w:bookmarkEnd w:id="160"/>
      <w:bookmarkEnd w:id="161"/>
      <w:bookmarkEnd w:id="162"/>
    </w:p>
    <w:p w14:paraId="5B9B7BC5">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市辖区蓝绿空间布局</w:t>
      </w:r>
    </w:p>
    <w:p w14:paraId="4631E561">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u w:val="none"/>
        </w:rPr>
        <w:t>立足无锡丰富的山水生态本底，构建林田、山水、公园、绿道、绿楔入城的</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一带双环、三廊六楔</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的市辖区蓝绿空间网络，促进城市外围生态绿楔、结构性绿廊与城市内部公园绿地内外衔接、融合成网。</w:t>
      </w:r>
    </w:p>
    <w:p w14:paraId="3396B213">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一带：</w:t>
      </w:r>
      <w:r>
        <w:rPr>
          <w:rFonts w:hint="eastAsia" w:ascii="宋体" w:hAnsi="宋体" w:eastAsia="宋体" w:cs="宋体"/>
          <w:color w:val="000000" w:themeColor="text1"/>
          <w:sz w:val="32"/>
          <w:szCs w:val="32"/>
        </w:rPr>
        <w:t>指太湖山水生态绿带，包括太湖风景名胜区、沿湖湿地公园等。</w:t>
      </w:r>
    </w:p>
    <w:p w14:paraId="346612DE">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双环：</w:t>
      </w:r>
      <w:r>
        <w:rPr>
          <w:rFonts w:hint="eastAsia" w:ascii="宋体" w:hAnsi="宋体" w:eastAsia="宋体" w:cs="宋体"/>
          <w:color w:val="000000" w:themeColor="text1"/>
          <w:sz w:val="32"/>
          <w:szCs w:val="32"/>
        </w:rPr>
        <w:t>指生态保育环和绿道共享环，其中生态保育环是串联大型郊野公园和楔形开敞空间的连续生态通道，绿道共享环是梁溪城区外围串联城市公园的共享绿道。</w:t>
      </w:r>
    </w:p>
    <w:p w14:paraId="30ED4ADD">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三廊：</w:t>
      </w:r>
      <w:r>
        <w:rPr>
          <w:rFonts w:hint="eastAsia" w:ascii="宋体" w:hAnsi="宋体" w:eastAsia="宋体" w:cs="宋体"/>
          <w:color w:val="000000" w:themeColor="text1"/>
          <w:sz w:val="32"/>
          <w:szCs w:val="32"/>
        </w:rPr>
        <w:t>指大运河</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沪宁城际、沪蓉高速、京沪高铁</w:t>
      </w:r>
      <w:r>
        <w:rPr>
          <w:rFonts w:hint="eastAsia" w:ascii="宋体" w:hAnsi="宋体" w:eastAsia="宋体" w:cs="宋体"/>
          <w:color w:val="000000" w:themeColor="text1"/>
          <w:sz w:val="32"/>
          <w:szCs w:val="32"/>
        </w:rPr>
        <w:t>3</w:t>
      </w:r>
      <w:r>
        <w:rPr>
          <w:rFonts w:hint="eastAsia" w:ascii="宋体" w:hAnsi="宋体" w:eastAsia="宋体" w:cs="宋体"/>
          <w:color w:val="000000" w:themeColor="text1"/>
          <w:sz w:val="32"/>
          <w:szCs w:val="32"/>
        </w:rPr>
        <w:t>条城市生态风廊，提升城市空气流通能力，缓解城市热岛效应，改善城区空气质量。</w:t>
      </w:r>
    </w:p>
    <w:p w14:paraId="1A74C4B3">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六楔：</w:t>
      </w:r>
      <w:r>
        <w:rPr>
          <w:rFonts w:hint="eastAsia" w:ascii="宋体" w:hAnsi="宋体" w:eastAsia="宋体" w:cs="宋体"/>
          <w:color w:val="000000" w:themeColor="text1"/>
          <w:sz w:val="32"/>
          <w:szCs w:val="32"/>
        </w:rPr>
        <w:t>指环绕在市辖区周边、深入中心城区的</w:t>
      </w:r>
      <w:r>
        <w:rPr>
          <w:rFonts w:hint="eastAsia" w:ascii="宋体" w:hAnsi="宋体" w:eastAsia="宋体" w:cs="宋体"/>
          <w:color w:val="000000" w:themeColor="text1"/>
          <w:sz w:val="32"/>
          <w:szCs w:val="32"/>
        </w:rPr>
        <w:t>6</w:t>
      </w:r>
      <w:r>
        <w:rPr>
          <w:rFonts w:hint="eastAsia" w:ascii="宋体" w:hAnsi="宋体" w:eastAsia="宋体" w:cs="宋体"/>
          <w:color w:val="000000" w:themeColor="text1"/>
          <w:sz w:val="32"/>
          <w:szCs w:val="32"/>
        </w:rPr>
        <w:t>条楔形生态开敞空间。</w:t>
      </w:r>
    </w:p>
    <w:p w14:paraId="00EB910C">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市辖区开敞空间</w:t>
      </w:r>
    </w:p>
    <w:p w14:paraId="1B0137F8">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完善由郊野公园、都市农园、城乡绿道、防护绿廊等组成的市辖区开敞空间。</w:t>
      </w:r>
    </w:p>
    <w:p w14:paraId="17761470">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郊野公园。</w:t>
      </w:r>
      <w:r>
        <w:rPr>
          <w:rFonts w:hint="eastAsia" w:ascii="宋体" w:hAnsi="宋体" w:eastAsia="宋体" w:cs="宋体"/>
          <w:color w:val="000000" w:themeColor="text1"/>
          <w:sz w:val="32"/>
          <w:szCs w:val="32"/>
        </w:rPr>
        <w:t>规划在近郊地区打造若干个郊野公园，配置必要的休闲游憩和户外科普教育设施，保护和利用自然山水地貌，维护生物多样性。郊野公园内的永久基本农田保护必须遵守相关法律法规要求。</w:t>
      </w:r>
    </w:p>
    <w:p w14:paraId="1FC01984">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都市农园。</w:t>
      </w:r>
      <w:r>
        <w:rPr>
          <w:rFonts w:hint="eastAsia" w:ascii="宋体" w:hAnsi="宋体" w:eastAsia="宋体" w:cs="宋体"/>
          <w:color w:val="000000" w:themeColor="text1"/>
          <w:sz w:val="32"/>
          <w:szCs w:val="32"/>
        </w:rPr>
        <w:t>鼓励利用城镇边缘地区以及城镇开发边界内保留的农用地，规划若干个主导</w:t>
      </w:r>
      <w:r>
        <w:rPr>
          <w:rFonts w:hint="eastAsia" w:ascii="宋体" w:hAnsi="宋体" w:eastAsia="宋体" w:cs="宋体"/>
          <w:color w:val="000000" w:themeColor="text1"/>
          <w:sz w:val="32"/>
          <w:szCs w:val="32"/>
        </w:rPr>
        <w:t>功能为</w:t>
      </w:r>
      <w:r>
        <w:rPr>
          <w:rFonts w:hint="eastAsia" w:ascii="宋体" w:hAnsi="宋体" w:eastAsia="宋体" w:cs="宋体"/>
          <w:color w:val="000000" w:themeColor="text1"/>
          <w:sz w:val="32"/>
          <w:szCs w:val="32"/>
        </w:rPr>
        <w:t>农业种植、科普教育、休闲体验的都市农园，适当完善生产设施和休闲设施布局，丰富城市绿色开敞空间。</w:t>
      </w:r>
    </w:p>
    <w:p w14:paraId="4529BE54">
      <w:pPr>
        <w:spacing w:before="156" w:after="156" w:line="600" w:lineRule="exact"/>
        <w:ind w:firstLine="643" w:firstLineChars="200"/>
        <w:rPr>
          <w:rFonts w:hint="eastAsia" w:ascii="宋体" w:hAnsi="宋体" w:eastAsia="宋体" w:cs="宋体"/>
          <w:color w:val="000000" w:themeColor="text1"/>
          <w:sz w:val="32"/>
        </w:rPr>
      </w:pPr>
      <w:r>
        <w:rPr>
          <w:rFonts w:hint="eastAsia" w:ascii="宋体" w:hAnsi="宋体" w:eastAsia="宋体" w:cs="宋体"/>
          <w:b/>
          <w:color w:val="000000" w:themeColor="text1"/>
          <w:sz w:val="32"/>
          <w:szCs w:val="32"/>
        </w:rPr>
        <w:t>绿道。</w:t>
      </w:r>
      <w:r>
        <w:rPr>
          <w:rFonts w:hint="eastAsia" w:ascii="宋体" w:hAnsi="宋体" w:eastAsia="宋体" w:cs="宋体"/>
          <w:color w:val="000000" w:themeColor="text1"/>
          <w:sz w:val="32"/>
          <w:szCs w:val="32"/>
        </w:rPr>
        <w:t>实施全民健身战略，落实国家步道体系建设相关要求，优化步道体系布局，构建连续贯通、等级分明、特色鲜明的绿道网系统。规划古运河绿道，彰显历史文化名城特色。结合太湖湾科技创新带建设，打造百公里环湖绿道。构建串联湖山的城区环形共享绿道，以及外围由走马塘绿道、锡北运河绿道、惠西风光带绿道组成的乡野绿道。依托大运河、伯渎港、尚贤河、白屈港、洋溪河、锡澄运河、农新河、九里河等，规划放射型城市骨干绿道。</w:t>
      </w:r>
    </w:p>
    <w:p w14:paraId="0513FBD7">
      <w:pPr>
        <w:spacing w:before="156" w:after="156"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防护绿廊。</w:t>
      </w:r>
      <w:r>
        <w:rPr>
          <w:rFonts w:hint="eastAsia" w:ascii="宋体" w:hAnsi="宋体" w:eastAsia="宋体" w:cs="宋体"/>
          <w:color w:val="000000" w:themeColor="text1"/>
          <w:sz w:val="32"/>
          <w:szCs w:val="32"/>
        </w:rPr>
        <w:t>城镇集中建设区范围内铁路、高速公路、国省干道沿线，依据相关规范要求控制防护绿廊，困难地段廊道宽度根据实际情况设置。防护廊道内涉及耕地、林地的必须遵守相关法律法规要求。西气东输及天然气管道走廊、高压走廊按等级控制廊道宽度。污水处理厂等大型环卫设施根据环境影响评价要求，在外围设置一定防护间距的绿廊。</w:t>
      </w:r>
    </w:p>
    <w:p w14:paraId="0AD81382">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中心城区游憩空间体系</w:t>
      </w:r>
    </w:p>
    <w:p w14:paraId="07098285">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遵循分级配置、均衡布局、类型丰富、特色突出、网络串联原则，构建以综合公园、专类公园、社区公园、游园组成的城市公园体系。中心城区规划综合公园、专类公园、社区公园和游园若干个。</w:t>
      </w:r>
    </w:p>
    <w:p w14:paraId="7908A9FE">
      <w:pPr>
        <w:spacing w:before="156" w:after="156" w:line="600" w:lineRule="exact"/>
        <w:ind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szCs w:val="32"/>
        </w:rPr>
        <w:t>综合公园具有完善的游憩和配套管理服务设施。专类公园包括遗址公园、植物园、动物园、历史名园等多种类型，具有明确的主题和相应的游憩、服务设施。社区公园结合城乡生活圈布局，包括街道社区公园和基层社区公园</w:t>
      </w:r>
      <w:r>
        <w:rPr>
          <w:rFonts w:hint="eastAsia" w:ascii="宋体" w:hAnsi="宋体" w:eastAsia="宋体" w:cs="宋体"/>
          <w:color w:val="000000" w:themeColor="text1"/>
          <w:sz w:val="32"/>
          <w:szCs w:val="32"/>
          <w:lang w:eastAsia="zh-CN"/>
        </w:rPr>
        <w:t>。</w:t>
      </w:r>
      <w:r>
        <w:rPr>
          <w:rFonts w:hint="eastAsia" w:ascii="宋体" w:hAnsi="宋体" w:eastAsia="宋体" w:cs="宋体"/>
          <w:color w:val="000000" w:themeColor="text1"/>
          <w:sz w:val="32"/>
          <w:szCs w:val="32"/>
        </w:rPr>
        <w:t>利用沿河沿路街角空间规划游园。</w:t>
      </w:r>
    </w:p>
    <w:p w14:paraId="7C539354">
      <w:pPr>
        <w:pStyle w:val="3"/>
        <w:numPr>
          <w:ilvl w:val="0"/>
          <w:numId w:val="7"/>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163" w:name="_Toc185189082"/>
      <w:bookmarkStart w:id="164" w:name="_Toc18134"/>
      <w:r>
        <w:rPr>
          <w:rFonts w:hint="eastAsia" w:ascii="宋体" w:hAnsi="宋体" w:eastAsia="宋体" w:cs="宋体"/>
          <w:b w:val="0"/>
          <w:bCs w:val="0"/>
          <w:color w:val="000000" w:themeColor="text1"/>
        </w:rPr>
        <w:t>特色魅力空间</w:t>
      </w:r>
      <w:bookmarkEnd w:id="163"/>
      <w:bookmarkEnd w:id="164"/>
    </w:p>
    <w:p w14:paraId="6B6AFCAC">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市辖区景观特色</w:t>
      </w:r>
    </w:p>
    <w:p w14:paraId="7AD76CA2">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彰显山水格局，延续城市文脉，提升空间品质，塑造重湖叠巘半城景、锡惠俯览运河湾的城市总体景观特色。保护锡惠山</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青龙山、大浮</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军嶂山、马山等环抱太湖的多层次山湖空间关系。保护以大运河为主脉、水网圩田环绕的多样滨水空间，凸显山湖河城相依的城市</w:t>
      </w:r>
      <w:r>
        <w:rPr>
          <w:rFonts w:hint="eastAsia" w:ascii="宋体" w:hAnsi="宋体" w:eastAsia="宋体" w:cs="宋体"/>
          <w:color w:val="000000" w:themeColor="text1"/>
          <w:sz w:val="32"/>
          <w:szCs w:val="32"/>
        </w:rPr>
        <w:t>空间</w:t>
      </w:r>
      <w:r>
        <w:rPr>
          <w:rFonts w:hint="eastAsia" w:ascii="宋体" w:hAnsi="宋体" w:eastAsia="宋体" w:cs="宋体"/>
          <w:color w:val="000000" w:themeColor="text1"/>
          <w:sz w:val="32"/>
          <w:szCs w:val="32"/>
        </w:rPr>
        <w:t>。</w:t>
      </w:r>
    </w:p>
    <w:p w14:paraId="0DA465D3">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彰显国土空间魅力，塑造城乡空间特色。太湖湾地区体现绿色发展、创新发展的特征，营造山城互望、城湖辉映的滨湖城市景观风貌，塑造丰富、活力的开敞空间。中心城区体现古今交融的现代都市风貌，塑造现代化、国际化的城市形象，加强公共活动中心、城市门户、滨水沿岸等区域的空间管控。洛社镇、阳山镇、鹅湖镇、羊尖镇等外围镇（街道）强调特色风貌与自然环境的协调与呼应，维护由平原湖荡、塘埔圩田、河流湿地等组成的水网肌理，注重地域文化的保护、发扬与传承。</w:t>
      </w:r>
    </w:p>
    <w:p w14:paraId="7E11B694">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市辖区特色空间引导</w:t>
      </w:r>
    </w:p>
    <w:p w14:paraId="5F745A28">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加强梁溪城区、太湖新城区等核心区建筑高度、形体和街道界面的空间引导，形成层次丰富、疏密有致、高低错落的空间形态，科学确定开发建设容量，鼓励功能混合。无锡硕放机场周边地区和锡东新城商务区紧凑布局枢纽功能，强化地上地下空间复合利用，合理组织交通流线，优化换乘设施布局。锡惠山、舜柯山、翠屏山等山体周边区域强调建筑轮廓线与山脊线的协调，促进慢行风景道与沿山开敞空间的融合，形成显山透绿、功能丰富的山前公共休闲空间。梁溪河、蠡湖、梁塘河等滨水区域控制滨水空间界面等，实现城市空间与滨水景观的融合渗透。大运河沿线、历史文化街区、历史文化名镇等区域严格遵循相关规划要求，明确新建和改扩建的建（构）筑物风貌引导要求。</w:t>
      </w:r>
    </w:p>
    <w:p w14:paraId="55476D6F">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市辖区天际线和高度控制</w:t>
      </w:r>
    </w:p>
    <w:p w14:paraId="4816F76D">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以龙光塔、舒天阁为视点控制景观视廊，形成彰显地方山水特色、凸显重要文化地标的廊道空间。协调环太湖、环蠡湖、锡惠山周边、大运河沿线建筑的整体秩序和韵律，塑造滨水、临山等展示城市特色魅力空间的天际线。划分高层建筑控制区、高层建筑引导区和一般协调区，形成疏密有度、错落有致的城市空间形态。</w:t>
      </w:r>
    </w:p>
    <w:p w14:paraId="6C29171B">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历史城区、历史文化街区、世界文化遗产大运河（江南运河无锡城区段）、风景名胜区等受到历史要素或自然景观要素限制较多的地区，按照相关规划进行管控。新建高层、超高层建筑结合城市中心和特色副中心相对集中设置，根据所处区位条件与用地功能确定建筑高度，塑造具有辨识度的中心城区天际轮廓线。上述地区以外的其他地区纳入一般协调区，应根据现状建筑高度分布，明确管控要求。</w:t>
      </w:r>
    </w:p>
    <w:p w14:paraId="1426B398">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中心城区开发强度控制</w:t>
      </w:r>
    </w:p>
    <w:p w14:paraId="078EDA02">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综合考虑城市各级中心、门户枢纽地区空间形态塑造和历史文化、自然山水空间的保护要求，加强开发强度的分级引导和控制，因地制宜确定重要地块的开发强度要求。</w:t>
      </w:r>
    </w:p>
    <w:p w14:paraId="1C97E62D">
      <w:pPr>
        <w:pStyle w:val="3"/>
        <w:numPr>
          <w:ilvl w:val="0"/>
          <w:numId w:val="7"/>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165" w:name="_Toc176945820"/>
      <w:bookmarkStart w:id="166" w:name="_Toc2594"/>
      <w:bookmarkStart w:id="167" w:name="_Toc161582255"/>
      <w:bookmarkStart w:id="168" w:name="_Toc185189083"/>
      <w:bookmarkStart w:id="169" w:name="_Toc156410587"/>
      <w:bookmarkStart w:id="170" w:name="_Toc139397173"/>
      <w:r>
        <w:rPr>
          <w:rFonts w:hint="eastAsia" w:ascii="宋体" w:hAnsi="宋体" w:eastAsia="宋体" w:cs="宋体"/>
          <w:b w:val="0"/>
          <w:bCs w:val="0"/>
          <w:color w:val="000000" w:themeColor="text1"/>
        </w:rPr>
        <w:t>城市控制线管控</w:t>
      </w:r>
      <w:bookmarkEnd w:id="165"/>
      <w:bookmarkEnd w:id="166"/>
      <w:bookmarkEnd w:id="167"/>
      <w:bookmarkEnd w:id="168"/>
      <w:bookmarkEnd w:id="169"/>
      <w:bookmarkEnd w:id="170"/>
    </w:p>
    <w:p w14:paraId="483D5E1F">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城市蓝线</w:t>
      </w:r>
    </w:p>
    <w:p w14:paraId="248D00FB">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u w:val="none"/>
        </w:rPr>
        <w:t>将骨干河道纳入城市蓝线。在保障功能不降低、规模不减少的前提下，在下层次规划中逐级细化落位，保持蓝线的系统性和连通性。城市蓝线范围内的建设活动应符合相关管理办法的要求。城市蓝线的调整应符合国家有关规定。</w:t>
      </w:r>
    </w:p>
    <w:p w14:paraId="73D5E169">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城市绿线</w:t>
      </w:r>
    </w:p>
    <w:p w14:paraId="1918DC80">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u w:val="none"/>
        </w:rPr>
        <w:t>将市级综合公园纳入城市绿线。在保障功能不降低、规模不减少的前提下，在下层次规划中逐级细化落位，保持绿线的系统性和连通性。城市绿线范围内的建设活动应符合相关管理办法的要求。城市绿线的调整应符合国家有关规定。</w:t>
      </w:r>
    </w:p>
    <w:p w14:paraId="05B62F78">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城市黄线</w:t>
      </w:r>
    </w:p>
    <w:p w14:paraId="782306A9">
      <w:pPr>
        <w:spacing w:line="600" w:lineRule="exact"/>
        <w:ind w:firstLine="640" w:firstLineChars="200"/>
        <w:rPr>
          <w:rFonts w:hint="eastAsia" w:ascii="宋体" w:hAnsi="宋体" w:eastAsia="宋体" w:cs="宋体"/>
          <w:color w:val="000000" w:themeColor="text1"/>
          <w:sz w:val="32"/>
          <w:szCs w:val="32"/>
          <w:u w:val="single"/>
        </w:rPr>
      </w:pPr>
      <w:r>
        <w:rPr>
          <w:rFonts w:hint="eastAsia" w:ascii="宋体" w:hAnsi="宋体" w:eastAsia="宋体" w:cs="宋体"/>
          <w:color w:val="000000" w:themeColor="text1"/>
          <w:sz w:val="32"/>
          <w:szCs w:val="32"/>
          <w:u w:val="none"/>
        </w:rPr>
        <w:t>将交通、给水、排水、供电、燃气、供热、通信、环卫、防灾等市级及以上重要基础设施纳入城市黄线。城市黄线应结合交通、市政等相关专项规划，在下层次规划中逐级细化落位，确保控制预留的空间不被侵占。城市黄线范围内的建设活动应符合相关管理办法的要求。城市黄线的调整应符合国家有关规定。</w:t>
      </w:r>
    </w:p>
    <w:p w14:paraId="380C9A59">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城市紫线</w:t>
      </w:r>
    </w:p>
    <w:p w14:paraId="044155A9">
      <w:pPr>
        <w:pStyle w:val="16"/>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u w:val="none"/>
        </w:rPr>
        <w:t>将历史文化街区的保护范围以及历史文化街区外历史建筑的保护范围纳入城市紫线。城市紫线的具体边界在下层次规划中落位。城市紫线范围内的建设活动应符合相关管理办法的要求。城市紫线的调整应符合国家有关规定。</w:t>
      </w:r>
      <w:r>
        <w:rPr>
          <w:rFonts w:hint="eastAsia" w:ascii="宋体" w:hAnsi="宋体" w:eastAsia="宋体" w:cs="宋体"/>
          <w:color w:val="000000" w:themeColor="text1"/>
          <w:sz w:val="32"/>
          <w:szCs w:val="32"/>
        </w:rPr>
        <w:br w:type="page"/>
      </w:r>
    </w:p>
    <w:p w14:paraId="63C8C993">
      <w:pPr>
        <w:pStyle w:val="2"/>
        <w:numPr>
          <w:ilvl w:val="0"/>
          <w:numId w:val="2"/>
        </w:numPr>
        <w:snapToGrid w:val="0"/>
        <w:spacing w:before="0" w:after="156" w:afterLines="50" w:line="500" w:lineRule="exact"/>
        <w:ind w:left="0" w:firstLine="0"/>
        <w:jc w:val="center"/>
        <w:rPr>
          <w:rFonts w:hint="eastAsia" w:ascii="宋体" w:hAnsi="宋体" w:eastAsia="宋体" w:cs="宋体"/>
          <w:b w:val="0"/>
          <w:color w:val="000000" w:themeColor="text1"/>
          <w:sz w:val="36"/>
          <w:szCs w:val="36"/>
        </w:rPr>
      </w:pPr>
      <w:bookmarkStart w:id="171" w:name="_Toc161582256"/>
      <w:bookmarkStart w:id="172" w:name="_Toc1672"/>
      <w:bookmarkStart w:id="173" w:name="_Toc185189084"/>
      <w:bookmarkStart w:id="174" w:name="_Toc176945821"/>
      <w:bookmarkStart w:id="175" w:name="_Toc139397179"/>
      <w:bookmarkStart w:id="176" w:name="_Toc27640"/>
      <w:bookmarkStart w:id="177" w:name="_Toc156410588"/>
      <w:bookmarkStart w:id="178" w:name="_Toc119690162"/>
      <w:r>
        <w:rPr>
          <w:rFonts w:hint="eastAsia" w:ascii="宋体" w:hAnsi="宋体" w:eastAsia="宋体" w:cs="宋体"/>
          <w:b w:val="0"/>
          <w:color w:val="000000" w:themeColor="text1"/>
          <w:sz w:val="36"/>
          <w:szCs w:val="36"/>
        </w:rPr>
        <w:t>历史文化保护</w:t>
      </w:r>
      <w:bookmarkEnd w:id="171"/>
      <w:bookmarkEnd w:id="172"/>
      <w:bookmarkEnd w:id="173"/>
      <w:bookmarkEnd w:id="174"/>
    </w:p>
    <w:p w14:paraId="565BC4AA">
      <w:pPr>
        <w:pStyle w:val="3"/>
        <w:numPr>
          <w:ilvl w:val="0"/>
          <w:numId w:val="8"/>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179" w:name="_Toc185189085"/>
      <w:bookmarkStart w:id="180" w:name="_Toc176945822"/>
      <w:bookmarkStart w:id="181" w:name="_Toc24931"/>
      <w:r>
        <w:rPr>
          <w:rFonts w:hint="eastAsia" w:ascii="宋体" w:hAnsi="宋体" w:eastAsia="宋体" w:cs="宋体"/>
          <w:b w:val="0"/>
          <w:bCs w:val="0"/>
          <w:color w:val="000000" w:themeColor="text1"/>
        </w:rPr>
        <w:t>保护目标与体系</w:t>
      </w:r>
      <w:bookmarkEnd w:id="179"/>
      <w:bookmarkEnd w:id="180"/>
      <w:bookmarkEnd w:id="181"/>
    </w:p>
    <w:p w14:paraId="3D33CAC2">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保护目标</w:t>
      </w:r>
    </w:p>
    <w:p w14:paraId="1F0F9237">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充分挖掘历史文化价值特色，加强文化遗产保护力度，构建系统完整的遗产保护空间体系。坚持将历史文化遗产的保护与展示利用相结合、文化空间的保护与文化产业发展相结合，延续历史文脉，坚定文化自信，实现文化荣城。</w:t>
      </w:r>
    </w:p>
    <w:p w14:paraId="733D9429">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遗产保护空间体系</w:t>
      </w:r>
    </w:p>
    <w:p w14:paraId="63142D0E">
      <w:pPr>
        <w:pStyle w:val="35"/>
        <w:autoSpaceDE w:val="0"/>
        <w:autoSpaceDN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坚持价值导向、应保尽保、合理利用、传承发展的原则，系统整合市域内世界文化遗产、全国重点文物保护单位、江苏省文物保护单位、市县级文物保护单位、尚未核定公布为文物保护单位的不可移动文物、大遗址、地下文物埋藏区、水下文物保护区、历史文化名城名镇名村、历史文化街区和历史建筑，以及传统村落、水利遗产、交通遗产、工业遗产、农业文化遗产、红色文化遗产、古树名木等各类文化遗产和非物质文化遗产等保护对象。对各类遗产本体及环境实施严格保护和管控，夯实遗产保护空间基础。</w:t>
      </w:r>
    </w:p>
    <w:p w14:paraId="3EFB6858">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分层保护</w:t>
      </w:r>
    </w:p>
    <w:p w14:paraId="1B2306F9">
      <w:pPr>
        <w:pStyle w:val="35"/>
        <w:autoSpaceDE w:val="0"/>
        <w:autoSpaceDN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市域层面，加强跨区域历史文化遗产联动保护。融入江苏省历史文化保护传承总体发展格局，保护环太湖文化带、锡澄运河文化带。保护无锡、宜兴国家历史文化名城及江阴省级历史文化名城</w:t>
      </w:r>
      <w:r>
        <w:rPr>
          <w:rFonts w:hint="eastAsia" w:ascii="宋体" w:hAnsi="宋体" w:eastAsia="宋体" w:cs="宋体"/>
          <w:color w:val="000000" w:themeColor="text1"/>
          <w:sz w:val="32"/>
          <w:szCs w:val="32"/>
        </w:rPr>
        <w:t>3</w:t>
      </w:r>
      <w:r>
        <w:rPr>
          <w:rFonts w:hint="eastAsia" w:ascii="宋体" w:hAnsi="宋体" w:eastAsia="宋体" w:cs="宋体"/>
          <w:color w:val="000000" w:themeColor="text1"/>
          <w:sz w:val="32"/>
          <w:szCs w:val="32"/>
        </w:rPr>
        <w:t>座历史文化名城，保护各级历史文化名镇、名村和传统村落。</w:t>
      </w:r>
    </w:p>
    <w:p w14:paraId="3F18588C">
      <w:pPr>
        <w:pStyle w:val="35"/>
        <w:autoSpaceDE w:val="0"/>
        <w:autoSpaceDN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市辖区层面，保护</w:t>
      </w:r>
      <w:r>
        <w:rPr>
          <w:rFonts w:hint="eastAsia" w:ascii="宋体" w:hAnsi="宋体" w:eastAsia="宋体" w:cs="宋体"/>
          <w:color w:val="000000" w:themeColor="text1"/>
          <w:sz w:val="32"/>
          <w:szCs w:val="32"/>
        </w:rPr>
        <w:t>3</w:t>
      </w:r>
      <w:r>
        <w:rPr>
          <w:rFonts w:hint="eastAsia" w:ascii="宋体" w:hAnsi="宋体" w:eastAsia="宋体" w:cs="宋体"/>
          <w:color w:val="000000" w:themeColor="text1"/>
          <w:sz w:val="32"/>
          <w:szCs w:val="32"/>
        </w:rPr>
        <w:t>条遗产集聚带，即以吴古故水道为载体的伯渎源文化遗产保护带，以世界文化遗产大运河（江南运河无锡城区段）为主体的运河城文化遗产保护带，以太湖沿线自然山水和风景名胜区保护为重点的太湖景文化遗产保护带。重点保护乡村地区水网格局及依水而兴的聚落、环境和文化要素。</w:t>
      </w:r>
    </w:p>
    <w:p w14:paraId="64A9257A">
      <w:pPr>
        <w:pStyle w:val="35"/>
        <w:autoSpaceDE w:val="0"/>
        <w:autoSpaceDN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中心城区层面，保护历史城区整体空间形态，保护南市桥巷、汤巷等传统街巷，加强历史城区整体特色风貌引导，严格控制高层建筑建设，逐步降低历史城区开发容量。</w:t>
      </w:r>
    </w:p>
    <w:p w14:paraId="2728DFC8">
      <w:pPr>
        <w:pStyle w:val="3"/>
        <w:numPr>
          <w:ilvl w:val="0"/>
          <w:numId w:val="8"/>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182" w:name="_Toc14301"/>
      <w:bookmarkStart w:id="183" w:name="_Toc185189086"/>
      <w:bookmarkStart w:id="184" w:name="_Toc173325641"/>
      <w:bookmarkStart w:id="185" w:name="_Toc176945823"/>
      <w:r>
        <w:rPr>
          <w:rFonts w:hint="eastAsia" w:ascii="宋体" w:hAnsi="宋体" w:eastAsia="宋体" w:cs="宋体"/>
          <w:b w:val="0"/>
          <w:bCs w:val="0"/>
          <w:color w:val="000000" w:themeColor="text1"/>
        </w:rPr>
        <w:t>分类保护利用</w:t>
      </w:r>
      <w:bookmarkEnd w:id="182"/>
      <w:bookmarkEnd w:id="183"/>
      <w:bookmarkEnd w:id="184"/>
      <w:bookmarkEnd w:id="185"/>
    </w:p>
    <w:p w14:paraId="66900DF0">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世界文化遗产</w:t>
      </w:r>
    </w:p>
    <w:p w14:paraId="036F0186">
      <w:pPr>
        <w:pStyle w:val="35"/>
        <w:autoSpaceDE w:val="0"/>
        <w:autoSpaceDN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严格按照世界文化遗产的相关法律法规，保护大运河（江南运河无锡城区段），落实各类管控边界和管控要求，在依法保护、科学保护的前提下，合理利用、适度开发，实现大运河文化遗产资源的永续传承。</w:t>
      </w:r>
    </w:p>
    <w:p w14:paraId="2C971148">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历史文化名镇名村和传统村落</w:t>
      </w:r>
    </w:p>
    <w:p w14:paraId="473FCCF1">
      <w:pPr>
        <w:pStyle w:val="35"/>
        <w:autoSpaceDE w:val="0"/>
        <w:autoSpaceDN w:val="0"/>
        <w:spacing w:before="156" w:beforeLines="50" w:beforeAutospacing="0" w:after="156" w:afterLines="5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严格按照《历史文化名城名镇名村保护条例》，保护历史文化名镇、名村和传统村落。保护传统格局、历史风貌、人文环境以及所依存的地形地貌、河湖水系等自然景观环境，传承传统营建智慧，补足配套基础设施和公共服务设施短板，探索传统文化与现代元素的结合与传承。</w:t>
      </w:r>
    </w:p>
    <w:p w14:paraId="6F1CA384">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历史文化街区</w:t>
      </w:r>
    </w:p>
    <w:p w14:paraId="51B2C2C1">
      <w:pPr>
        <w:pStyle w:val="35"/>
        <w:autoSpaceDE w:val="0"/>
        <w:autoSpaceDN w:val="0"/>
        <w:spacing w:before="156" w:beforeAutospacing="0" w:after="156"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保护历史文化街区，坚持真实性、完整性原则，保护历史文化街区的历史文化遗存和环境要素，保护空间格局和历史风貌。因地制宜推动小规模、渐进式更新，提档升级基础设施和公共服务设施，保持历史文化街区活力。</w:t>
      </w:r>
    </w:p>
    <w:p w14:paraId="6A766B3C">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不可移动文物</w:t>
      </w:r>
    </w:p>
    <w:p w14:paraId="04160C71">
      <w:pPr>
        <w:pStyle w:val="35"/>
        <w:autoSpaceDE w:val="0"/>
        <w:autoSpaceDN w:val="0"/>
        <w:spacing w:before="156" w:beforeAutospacing="0" w:after="156"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保护各级文物保护单位（含大遗址）和其他尚未核定公布为文物保护单位的不可移动文物。严格按照《中华人民共和国文物保护法》等相关法律法规的保护要求进行保护，坚持不改变文物原状，坚持原址保护，加强保护修缮和日常保养，适度加大文物开放力度，推进活化利用。</w:t>
      </w:r>
    </w:p>
    <w:p w14:paraId="711BB619">
      <w:pPr>
        <w:pStyle w:val="35"/>
        <w:autoSpaceDE w:val="0"/>
        <w:autoSpaceDN w:val="0"/>
        <w:spacing w:before="156" w:beforeAutospacing="0" w:after="156"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将不可移动文物保护空间管制的规划要求纳入国土空间规划</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一张图</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实施监督信息系统管理落实，作为实施国土空间用途管制和规划许可的重要依据。发掘不可移动文物资源的多重价值，保障文物保护、利用、考古等合理空间需求。涉及不可移动文物保护范围、建设控制地带内的建设工程应开展建设影响评估。</w:t>
      </w:r>
    </w:p>
    <w:p w14:paraId="537B2F35">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地下文物埋藏区</w:t>
      </w:r>
    </w:p>
    <w:p w14:paraId="2DF8B83C">
      <w:pPr>
        <w:pStyle w:val="35"/>
        <w:autoSpaceDE w:val="0"/>
        <w:autoSpaceDN w:val="0"/>
        <w:spacing w:before="156" w:beforeLines="50" w:beforeAutospacing="0" w:after="156" w:afterLines="5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保护地下文物埋藏区，落实建设前考古要求。适时开展太湖、长江等水下文物考古工作，将水下文物分布较为集中、需要整体保护的水域划定公布为水下文物保护区。</w:t>
      </w:r>
    </w:p>
    <w:p w14:paraId="4D42D414">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历史建筑</w:t>
      </w:r>
    </w:p>
    <w:p w14:paraId="2437B62D">
      <w:pPr>
        <w:pStyle w:val="35"/>
        <w:autoSpaceDE w:val="0"/>
        <w:autoSpaceDN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保护历史建筑，不得擅自迁移、拆除，依法依规开展历史建筑的保养、维护与修缮。严格保护体现历史建筑历史文化价值的主要立面、主体结构和其他核心价值要素。</w:t>
      </w:r>
    </w:p>
    <w:p w14:paraId="116339E3">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非物质文化遗产和优秀传统文化</w:t>
      </w:r>
    </w:p>
    <w:p w14:paraId="7A709FA8">
      <w:pPr>
        <w:pStyle w:val="35"/>
        <w:autoSpaceDE w:val="0"/>
        <w:autoSpaceDN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按照真实性、整体性、传承性的原则，对非物质文化遗产及其传承空间实施保护。加强各级非物质文化遗产展示馆、传承示范基地、生产性保护示范基地等基地建设，推动工艺美术、美食美酒、种植技术和制茶技术等传统工艺振兴，推进代表性传承人队伍建设，弘扬工匠精神。</w:t>
      </w:r>
    </w:p>
    <w:p w14:paraId="557AC2CC">
      <w:pPr>
        <w:pStyle w:val="35"/>
        <w:autoSpaceDE w:val="0"/>
        <w:autoSpaceDN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发掘并保护老字号，加强老字号文化和技艺的研究、保护和传承工作，振兴传统商业街巷。保护各级地名文化遗产，历史文化街区、历史文化名镇名村、传统村落的地名和传统街巷、历史水系名称不得随意更改。保护庙会等民俗文化。</w:t>
      </w:r>
    </w:p>
    <w:p w14:paraId="274B7CEC">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历史文化遗产</w:t>
      </w:r>
    </w:p>
    <w:p w14:paraId="4DDCA15A">
      <w:pPr>
        <w:pStyle w:val="35"/>
        <w:autoSpaceDE w:val="0"/>
        <w:autoSpaceDN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保护水利遗产、交通遗产、工业遗产、农业文化遗产、红色文化遗产等其他各类历史文化遗产。按照相关法律法规要求，开展普查、认定、公布和保护、传承、利用等相关工作。</w:t>
      </w:r>
    </w:p>
    <w:p w14:paraId="65AB9B12">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历史文化保护线</w:t>
      </w:r>
    </w:p>
    <w:p w14:paraId="7A71084B">
      <w:pPr>
        <w:pStyle w:val="35"/>
        <w:autoSpaceDE w:val="0"/>
        <w:autoSpaceDN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u w:val="none"/>
        </w:rPr>
        <w:t>落实历史文化保护线的保护范围和管控要求，将历史城区、历史镇区、历史文化名村和历史文化街区保护范围，世界文化遗产大运河（江南运河无锡城区段）的遗产区和缓冲区，文物保护单位的保护范围和建设控制地带，以及历史建筑的保护范围纳入历史文化保护线。</w:t>
      </w:r>
      <w:r>
        <w:rPr>
          <w:rFonts w:hint="eastAsia" w:ascii="宋体" w:hAnsi="宋体" w:eastAsia="宋体" w:cs="宋体"/>
          <w:color w:val="000000" w:themeColor="text1"/>
          <w:sz w:val="32"/>
          <w:szCs w:val="32"/>
        </w:rPr>
        <w:t>对于纳入保护名录但暂不具备历史文化保护线划定基础的，经相关部门共同研究后，及时落实动态补划。历史文化保护线内的建设活动应严格遵守相关法律法规及保护规划的要求。对历史文化保护线内可能存在历史文化遗存的地区，实行</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先考古、后出让</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制度。历史文化保护线调整应符合国家有关规定。</w:t>
      </w:r>
    </w:p>
    <w:p w14:paraId="1985F555">
      <w:pPr>
        <w:pStyle w:val="3"/>
        <w:numPr>
          <w:ilvl w:val="0"/>
          <w:numId w:val="8"/>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186" w:name="_Toc185189087"/>
      <w:bookmarkStart w:id="187" w:name="_Toc14779"/>
      <w:bookmarkStart w:id="188" w:name="_Toc173325644"/>
      <w:bookmarkStart w:id="189" w:name="_Toc176945824"/>
      <w:bookmarkStart w:id="190" w:name="_Toc161582261"/>
      <w:r>
        <w:rPr>
          <w:rFonts w:hint="eastAsia" w:ascii="宋体" w:hAnsi="宋体" w:eastAsia="宋体" w:cs="宋体"/>
          <w:b w:val="0"/>
          <w:bCs w:val="0"/>
          <w:color w:val="000000" w:themeColor="text1"/>
        </w:rPr>
        <w:t>大运河文化保护传承利用</w:t>
      </w:r>
      <w:bookmarkEnd w:id="186"/>
      <w:bookmarkEnd w:id="187"/>
      <w:bookmarkEnd w:id="188"/>
      <w:bookmarkEnd w:id="189"/>
      <w:bookmarkEnd w:id="190"/>
    </w:p>
    <w:p w14:paraId="078E7C35">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协同推进大运河文化遗产整体保护</w:t>
      </w:r>
    </w:p>
    <w:p w14:paraId="576F27E2">
      <w:pPr>
        <w:pStyle w:val="35"/>
        <w:autoSpaceDE w:val="0"/>
        <w:autoSpaceDN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保护大运河（无锡段）水工遗产和附属遗产、相关物质遗产与相关历史文化街区。除防洪、航道疏浚、水工设施维护、输水河道工程外，任何单位或者个人不得在大运河遗产保护规划划定的保护范围内进行破坏大运河遗产本体的工程建设。按照相关管控要求，加强大运河核心监控区的规划管控。</w:t>
      </w:r>
    </w:p>
    <w:p w14:paraId="6D1C0F42">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支撑大运河文化带暨国家文化公园建设</w:t>
      </w:r>
    </w:p>
    <w:p w14:paraId="1D337717">
      <w:pPr>
        <w:pStyle w:val="35"/>
        <w:autoSpaceDE w:val="0"/>
        <w:autoSpaceDN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以高品位文化长廊、高颜值生态长廊和高水平旅游长廊为目标，完善大运河国家文化公园无锡建设保护区</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两园、三带、十五点</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空间布局结构。“两园”，包括清名桥、惠山古镇核心展示园，提升配套服务功能，丰富文化体验活动。“三带”，包括吴桥</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江尖大桥、环城古运河、南禅寺</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南水仙庙</w:t>
      </w:r>
      <w:r>
        <w:rPr>
          <w:rFonts w:hint="eastAsia" w:ascii="宋体" w:hAnsi="宋体" w:eastAsia="宋体" w:cs="宋体"/>
          <w:color w:val="000000" w:themeColor="text1"/>
          <w:sz w:val="32"/>
          <w:szCs w:val="32"/>
        </w:rPr>
        <w:t>3</w:t>
      </w:r>
      <w:r>
        <w:rPr>
          <w:rFonts w:hint="eastAsia" w:ascii="宋体" w:hAnsi="宋体" w:eastAsia="宋体" w:cs="宋体"/>
          <w:color w:val="000000" w:themeColor="text1"/>
          <w:sz w:val="32"/>
          <w:szCs w:val="32"/>
        </w:rPr>
        <w:t>条集中展示带，优化景观风貌，彰显节点空间特色。“十五点”，包括中国民族工商业博物馆（茂新面粉厂）、北仓门蚕丝仓库、黄埠墩（古芙蓉湖）等特色展示点，加强点线串联，展现运河文化特色。结合全域旅游，发展文化产业，推进文旅融合，提升文化创意资源活力，打造大运河江南文化客厅。</w:t>
      </w:r>
    </w:p>
    <w:p w14:paraId="19B7E712">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大运河沿线风貌景观控制</w:t>
      </w:r>
    </w:p>
    <w:p w14:paraId="7DE56697">
      <w:pPr>
        <w:pStyle w:val="35"/>
        <w:autoSpaceDE w:val="0"/>
        <w:autoSpaceDN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sectPr>
          <w:pgSz w:w="11906" w:h="16838"/>
          <w:pgMar w:top="1440" w:right="1800" w:bottom="1440" w:left="1800" w:header="851" w:footer="992" w:gutter="0"/>
          <w:cols w:space="425" w:num="1"/>
          <w:docGrid w:type="lines" w:linePitch="312" w:charSpace="0"/>
        </w:sectPr>
      </w:pPr>
      <w:r>
        <w:rPr>
          <w:rFonts w:hint="eastAsia" w:ascii="宋体" w:hAnsi="宋体" w:eastAsia="宋体" w:cs="宋体"/>
          <w:color w:val="000000" w:themeColor="text1"/>
          <w:sz w:val="32"/>
          <w:szCs w:val="32"/>
        </w:rPr>
        <w:t>加强大运河沿线空间形态、城乡风貌的分段引导和管控。北段（直湖港河口至北尖）以江南城镇风貌为主导，延续精巧秀丽的运河特征。中段（北尖至南尖）突出水网密布、典雅精致，塑造历史与现代交相辉映的风貌。南段（南尖至望虞河口）延续现代产业及宜居风貌，传承运河文化，创新驱动产业升级，建设规模适度、简洁典雅的现代产城融合区域。</w:t>
      </w:r>
      <w:bookmarkEnd w:id="175"/>
      <w:bookmarkEnd w:id="176"/>
      <w:bookmarkEnd w:id="177"/>
      <w:bookmarkEnd w:id="178"/>
      <w:bookmarkStart w:id="191" w:name="_Toc138698817"/>
      <w:bookmarkEnd w:id="191"/>
      <w:bookmarkStart w:id="192" w:name="_Toc174374978"/>
      <w:bookmarkEnd w:id="192"/>
      <w:bookmarkStart w:id="193" w:name="_Toc138698814"/>
      <w:bookmarkEnd w:id="193"/>
      <w:bookmarkStart w:id="194" w:name="_Toc138698815"/>
      <w:bookmarkEnd w:id="194"/>
      <w:bookmarkStart w:id="195" w:name="_Toc174375135"/>
      <w:bookmarkEnd w:id="195"/>
      <w:bookmarkStart w:id="196" w:name="_Toc138698818"/>
      <w:bookmarkEnd w:id="196"/>
      <w:bookmarkStart w:id="197" w:name="_Toc174375146"/>
      <w:bookmarkEnd w:id="197"/>
    </w:p>
    <w:p w14:paraId="6BCA74E2">
      <w:pPr>
        <w:pStyle w:val="2"/>
        <w:numPr>
          <w:ilvl w:val="0"/>
          <w:numId w:val="2"/>
        </w:numPr>
        <w:snapToGrid w:val="0"/>
        <w:spacing w:before="0" w:after="156" w:afterLines="50" w:line="500" w:lineRule="exact"/>
        <w:ind w:left="0" w:firstLine="0"/>
        <w:jc w:val="center"/>
        <w:rPr>
          <w:rFonts w:hint="eastAsia" w:ascii="宋体" w:hAnsi="宋体" w:eastAsia="宋体" w:cs="宋体"/>
          <w:b w:val="0"/>
          <w:color w:val="000000" w:themeColor="text1"/>
          <w:sz w:val="36"/>
          <w:szCs w:val="36"/>
        </w:rPr>
      </w:pPr>
      <w:bookmarkStart w:id="198" w:name="_Toc161582262"/>
      <w:bookmarkStart w:id="199" w:name="_Toc139397184"/>
      <w:bookmarkStart w:id="200" w:name="_Toc185189088"/>
      <w:bookmarkStart w:id="201" w:name="_Toc176945825"/>
      <w:bookmarkStart w:id="202" w:name="_Toc13548"/>
      <w:bookmarkStart w:id="203" w:name="_Toc156410593"/>
      <w:r>
        <w:rPr>
          <w:rFonts w:hint="eastAsia" w:ascii="宋体" w:hAnsi="宋体" w:eastAsia="宋体" w:cs="宋体"/>
          <w:b w:val="0"/>
          <w:color w:val="000000" w:themeColor="text1"/>
          <w:sz w:val="36"/>
          <w:szCs w:val="36"/>
        </w:rPr>
        <w:t>综合交通</w:t>
      </w:r>
      <w:bookmarkEnd w:id="198"/>
      <w:bookmarkEnd w:id="199"/>
      <w:bookmarkEnd w:id="200"/>
      <w:bookmarkEnd w:id="201"/>
      <w:bookmarkEnd w:id="202"/>
      <w:bookmarkEnd w:id="203"/>
    </w:p>
    <w:p w14:paraId="29811E0D">
      <w:pPr>
        <w:pStyle w:val="3"/>
        <w:numPr>
          <w:ilvl w:val="0"/>
          <w:numId w:val="9"/>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204" w:name="_Toc156410594"/>
      <w:bookmarkStart w:id="205" w:name="_Toc139397185"/>
      <w:bookmarkStart w:id="206" w:name="_Toc176945826"/>
      <w:bookmarkStart w:id="207" w:name="_Toc20201"/>
      <w:bookmarkStart w:id="208" w:name="_Toc185189089"/>
      <w:bookmarkStart w:id="209" w:name="_Toc161582263"/>
      <w:r>
        <w:rPr>
          <w:rFonts w:hint="eastAsia" w:ascii="宋体" w:hAnsi="宋体" w:eastAsia="宋体" w:cs="宋体"/>
          <w:b w:val="0"/>
          <w:bCs w:val="0"/>
          <w:color w:val="000000" w:themeColor="text1"/>
        </w:rPr>
        <w:t>交通目标与策略</w:t>
      </w:r>
      <w:bookmarkEnd w:id="204"/>
      <w:bookmarkEnd w:id="205"/>
      <w:bookmarkEnd w:id="206"/>
      <w:bookmarkEnd w:id="207"/>
      <w:bookmarkEnd w:id="208"/>
      <w:bookmarkEnd w:id="209"/>
    </w:p>
    <w:p w14:paraId="59C962A8">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发展目标</w:t>
      </w:r>
    </w:p>
    <w:p w14:paraId="74809778">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协同构建全国性综合交通枢纽。融入长三角一体化发展格局，构建客货运并重、多种运输方式协调发展的综合交通运输体系，提升</w:t>
      </w:r>
      <w:r>
        <w:rPr>
          <w:rFonts w:hint="eastAsia" w:ascii="宋体" w:hAnsi="宋体" w:eastAsia="宋体" w:cs="宋体"/>
          <w:color w:val="000000" w:themeColor="text1"/>
          <w:sz w:val="32"/>
          <w:szCs w:val="32"/>
        </w:rPr>
        <w:t>城</w:t>
      </w:r>
      <w:r>
        <w:rPr>
          <w:rFonts w:hint="eastAsia" w:ascii="宋体" w:hAnsi="宋体" w:eastAsia="宋体" w:cs="宋体"/>
          <w:color w:val="000000" w:themeColor="text1"/>
          <w:sz w:val="32"/>
          <w:szCs w:val="32"/>
        </w:rPr>
        <w:t>市交通枢纽地位。支撑城市空间</w:t>
      </w:r>
      <w:r>
        <w:rPr>
          <w:rFonts w:hint="eastAsia" w:ascii="宋体" w:hAnsi="宋体" w:eastAsia="宋体" w:cs="宋体"/>
          <w:color w:val="000000" w:themeColor="text1"/>
          <w:sz w:val="32"/>
          <w:szCs w:val="32"/>
        </w:rPr>
        <w:t>布局优化</w:t>
      </w:r>
      <w:r>
        <w:rPr>
          <w:rFonts w:hint="eastAsia" w:ascii="宋体" w:hAnsi="宋体" w:eastAsia="宋体" w:cs="宋体"/>
          <w:color w:val="000000" w:themeColor="text1"/>
          <w:sz w:val="32"/>
          <w:szCs w:val="32"/>
        </w:rPr>
        <w:t>，完善轨道交通和快速路骨架，推进市域交通设施一体化布局。坚持公共交通优先</w:t>
      </w:r>
      <w:r>
        <w:rPr>
          <w:rFonts w:hint="eastAsia" w:ascii="宋体" w:hAnsi="宋体" w:eastAsia="宋体" w:cs="宋体"/>
          <w:color w:val="000000" w:themeColor="text1"/>
          <w:sz w:val="32"/>
          <w:szCs w:val="32"/>
        </w:rPr>
        <w:t>和绿色交通引领</w:t>
      </w:r>
      <w:r>
        <w:rPr>
          <w:rFonts w:hint="eastAsia" w:ascii="宋体" w:hAnsi="宋体" w:eastAsia="宋体" w:cs="宋体"/>
          <w:color w:val="000000" w:themeColor="text1"/>
          <w:sz w:val="32"/>
          <w:szCs w:val="32"/>
        </w:rPr>
        <w:t>，构建绿色、高效、智慧、多元、可持续的城市综合交通系统。</w:t>
      </w:r>
    </w:p>
    <w:p w14:paraId="0B88A956">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基本形成苏锡常都市圈</w:t>
      </w:r>
      <w:r>
        <w:rPr>
          <w:rFonts w:hint="eastAsia" w:ascii="宋体" w:hAnsi="宋体" w:eastAsia="宋体" w:cs="宋体"/>
          <w:color w:val="000000" w:themeColor="text1"/>
          <w:sz w:val="32"/>
          <w:szCs w:val="32"/>
        </w:rPr>
        <w:t>1</w:t>
      </w:r>
      <w:r>
        <w:rPr>
          <w:rFonts w:hint="eastAsia" w:ascii="宋体" w:hAnsi="宋体" w:eastAsia="宋体" w:cs="宋体"/>
          <w:color w:val="000000" w:themeColor="text1"/>
          <w:sz w:val="32"/>
          <w:szCs w:val="32"/>
        </w:rPr>
        <w:t>小时通勤、长三角城市群</w:t>
      </w:r>
      <w:r>
        <w:rPr>
          <w:rFonts w:hint="eastAsia" w:ascii="宋体" w:hAnsi="宋体" w:eastAsia="宋体" w:cs="宋体"/>
          <w:color w:val="000000" w:themeColor="text1"/>
          <w:sz w:val="32"/>
          <w:szCs w:val="32"/>
        </w:rPr>
        <w:t>2</w:t>
      </w:r>
      <w:r>
        <w:rPr>
          <w:rFonts w:hint="eastAsia" w:ascii="宋体" w:hAnsi="宋体" w:eastAsia="宋体" w:cs="宋体"/>
          <w:color w:val="000000" w:themeColor="text1"/>
          <w:sz w:val="32"/>
          <w:szCs w:val="32"/>
        </w:rPr>
        <w:t>小时通达、全国主要城市</w:t>
      </w:r>
      <w:r>
        <w:rPr>
          <w:rFonts w:hint="eastAsia" w:ascii="宋体" w:hAnsi="宋体" w:eastAsia="宋体" w:cs="宋体"/>
          <w:color w:val="000000" w:themeColor="text1"/>
          <w:sz w:val="32"/>
          <w:szCs w:val="32"/>
        </w:rPr>
        <w:t>3</w:t>
      </w:r>
      <w:r>
        <w:rPr>
          <w:rFonts w:hint="eastAsia" w:ascii="宋体" w:hAnsi="宋体" w:eastAsia="宋体" w:cs="宋体"/>
          <w:color w:val="000000" w:themeColor="text1"/>
          <w:sz w:val="32"/>
          <w:szCs w:val="32"/>
        </w:rPr>
        <w:t>小时覆盖的交通圈。构建国内</w:t>
      </w:r>
      <w:r>
        <w:rPr>
          <w:rFonts w:hint="eastAsia" w:ascii="宋体" w:hAnsi="宋体" w:eastAsia="宋体" w:cs="宋体"/>
          <w:color w:val="000000" w:themeColor="text1"/>
          <w:sz w:val="32"/>
          <w:szCs w:val="32"/>
        </w:rPr>
        <w:t>1</w:t>
      </w:r>
      <w:r>
        <w:rPr>
          <w:rFonts w:hint="eastAsia" w:ascii="宋体" w:hAnsi="宋体" w:eastAsia="宋体" w:cs="宋体"/>
          <w:color w:val="000000" w:themeColor="text1"/>
          <w:sz w:val="32"/>
          <w:szCs w:val="32"/>
        </w:rPr>
        <w:t>天送达、周边国家</w:t>
      </w:r>
      <w:r>
        <w:rPr>
          <w:rFonts w:hint="eastAsia" w:ascii="宋体" w:hAnsi="宋体" w:eastAsia="宋体" w:cs="宋体"/>
          <w:color w:val="000000" w:themeColor="text1"/>
          <w:sz w:val="32"/>
          <w:szCs w:val="32"/>
        </w:rPr>
        <w:t>2</w:t>
      </w:r>
      <w:r>
        <w:rPr>
          <w:rFonts w:hint="eastAsia" w:ascii="宋体" w:hAnsi="宋体" w:eastAsia="宋体" w:cs="宋体"/>
          <w:color w:val="000000" w:themeColor="text1"/>
          <w:sz w:val="32"/>
          <w:szCs w:val="32"/>
        </w:rPr>
        <w:t>天送达、全球主要城市</w:t>
      </w:r>
      <w:r>
        <w:rPr>
          <w:rFonts w:hint="eastAsia" w:ascii="宋体" w:hAnsi="宋体" w:eastAsia="宋体" w:cs="宋体"/>
          <w:color w:val="000000" w:themeColor="text1"/>
          <w:sz w:val="32"/>
          <w:szCs w:val="32"/>
        </w:rPr>
        <w:t>3</w:t>
      </w:r>
      <w:r>
        <w:rPr>
          <w:rFonts w:hint="eastAsia" w:ascii="宋体" w:hAnsi="宋体" w:eastAsia="宋体" w:cs="宋体"/>
          <w:color w:val="000000" w:themeColor="text1"/>
          <w:sz w:val="32"/>
          <w:szCs w:val="32"/>
        </w:rPr>
        <w:t>天送达的快货物流圈。</w:t>
      </w:r>
    </w:p>
    <w:p w14:paraId="68DEBDAA">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发展策略</w:t>
      </w:r>
    </w:p>
    <w:p w14:paraId="71CE3E6F">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苏南枢纽。</w:t>
      </w:r>
      <w:r>
        <w:rPr>
          <w:rFonts w:hint="eastAsia" w:ascii="宋体" w:hAnsi="宋体" w:eastAsia="宋体" w:cs="宋体"/>
          <w:color w:val="000000" w:themeColor="text1"/>
          <w:sz w:val="32"/>
          <w:szCs w:val="32"/>
        </w:rPr>
        <w:t>提升无锡硕放机场能级，完善机场集疏运体系。优化铁路及公路运输网络，构建多网融合、互联互通的综合立体交通网络。优化港口岸线布局，促进长江港口和内河港口联动发展。</w:t>
      </w:r>
    </w:p>
    <w:p w14:paraId="338D78D2">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市域交通一体化。</w:t>
      </w:r>
      <w:r>
        <w:rPr>
          <w:rFonts w:hint="eastAsia" w:ascii="宋体" w:hAnsi="宋体" w:eastAsia="宋体" w:cs="宋体"/>
          <w:color w:val="000000" w:themeColor="text1"/>
          <w:sz w:val="32"/>
          <w:szCs w:val="32"/>
        </w:rPr>
        <w:t>加强市辖区与江阴市、宜兴市交通基础设施一体化建设，实现高速公路成网、快速通道中心城区直达、普通干线通道多点对接，促进市域融合发展。</w:t>
      </w:r>
    </w:p>
    <w:p w14:paraId="27A4F5C5">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幸福出行。</w:t>
      </w:r>
      <w:r>
        <w:rPr>
          <w:rFonts w:hint="eastAsia" w:ascii="宋体" w:hAnsi="宋体" w:eastAsia="宋体" w:cs="宋体"/>
          <w:color w:val="000000" w:themeColor="text1"/>
          <w:sz w:val="32"/>
          <w:szCs w:val="32"/>
        </w:rPr>
        <w:t>构建运行高效的城市交通运输系统，提升城市运行效率。提升客运服务能力和服务品质，改善绿色出行环境，推动城市公共交通健康发展。降低交通能源消耗，引导综合交通系统协调和可持续发展。</w:t>
      </w:r>
    </w:p>
    <w:p w14:paraId="191F776A">
      <w:pPr>
        <w:pStyle w:val="3"/>
        <w:numPr>
          <w:ilvl w:val="0"/>
          <w:numId w:val="9"/>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210" w:name="_Toc176945827"/>
      <w:bookmarkStart w:id="211" w:name="_Toc156410595"/>
      <w:bookmarkStart w:id="212" w:name="_Toc161582264"/>
      <w:bookmarkStart w:id="213" w:name="_Toc185189094"/>
      <w:bookmarkStart w:id="214" w:name="_Toc29812"/>
      <w:bookmarkStart w:id="215" w:name="_Toc139397186"/>
      <w:r>
        <w:rPr>
          <w:rFonts w:hint="eastAsia" w:ascii="宋体" w:hAnsi="宋体" w:eastAsia="宋体" w:cs="宋体"/>
          <w:b w:val="0"/>
          <w:bCs w:val="0"/>
          <w:color w:val="000000" w:themeColor="text1"/>
        </w:rPr>
        <w:t>对外交通</w:t>
      </w:r>
      <w:bookmarkEnd w:id="210"/>
      <w:bookmarkEnd w:id="211"/>
      <w:bookmarkEnd w:id="212"/>
      <w:bookmarkEnd w:id="213"/>
      <w:bookmarkEnd w:id="214"/>
      <w:bookmarkEnd w:id="215"/>
    </w:p>
    <w:p w14:paraId="06E495FF">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综合交通枢纽</w:t>
      </w:r>
    </w:p>
    <w:p w14:paraId="2B614E9C">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统筹考虑城市空间结构、人口分布和产业布局，结合综合交通网络布局，打造集航空、铁路、公路、水运、轨道等多种交通方式于一体，层次清晰、功能完备、布局合理的客货运枢纽体系，提供高品质的对外及中转运输服务，强化枢纽内部对外交通与城市交通的衔接。</w:t>
      </w:r>
    </w:p>
    <w:p w14:paraId="08478685">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航空</w:t>
      </w:r>
    </w:p>
    <w:p w14:paraId="1348F8E3">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机场建设。</w:t>
      </w:r>
      <w:r>
        <w:rPr>
          <w:rFonts w:hint="eastAsia" w:ascii="宋体" w:hAnsi="宋体" w:eastAsia="宋体" w:cs="宋体"/>
          <w:color w:val="000000" w:themeColor="text1"/>
          <w:sz w:val="32"/>
          <w:szCs w:val="32"/>
        </w:rPr>
        <w:t>将无锡硕放机场打造为国家干线机场和区域性枢纽机场，飞行区按照</w:t>
      </w:r>
      <w:r>
        <w:rPr>
          <w:rFonts w:hint="eastAsia" w:ascii="宋体" w:hAnsi="宋体" w:eastAsia="宋体" w:cs="宋体"/>
          <w:color w:val="000000" w:themeColor="text1"/>
          <w:sz w:val="32"/>
          <w:szCs w:val="32"/>
        </w:rPr>
        <w:t>4E</w:t>
      </w:r>
      <w:r>
        <w:rPr>
          <w:rFonts w:hint="eastAsia" w:ascii="宋体" w:hAnsi="宋体" w:eastAsia="宋体" w:cs="宋体"/>
          <w:color w:val="000000" w:themeColor="text1"/>
          <w:sz w:val="32"/>
          <w:szCs w:val="32"/>
        </w:rPr>
        <w:t>类标准设计。到</w:t>
      </w:r>
      <w:r>
        <w:rPr>
          <w:rFonts w:hint="eastAsia" w:ascii="宋体" w:hAnsi="宋体" w:eastAsia="宋体" w:cs="宋体"/>
          <w:color w:val="000000" w:themeColor="text1"/>
          <w:sz w:val="32"/>
          <w:szCs w:val="32"/>
        </w:rPr>
        <w:t>2035</w:t>
      </w:r>
      <w:r>
        <w:rPr>
          <w:rFonts w:hint="eastAsia" w:ascii="宋体" w:hAnsi="宋体" w:eastAsia="宋体" w:cs="宋体"/>
          <w:color w:val="000000" w:themeColor="text1"/>
          <w:sz w:val="32"/>
          <w:szCs w:val="32"/>
        </w:rPr>
        <w:t>年，旅客年吞吐量</w:t>
      </w:r>
      <w:r>
        <w:rPr>
          <w:rFonts w:hint="eastAsia" w:ascii="宋体" w:hAnsi="宋体" w:eastAsia="宋体" w:cs="宋体"/>
          <w:color w:val="000000" w:themeColor="text1"/>
          <w:sz w:val="32"/>
          <w:szCs w:val="32"/>
        </w:rPr>
        <w:t>2150</w:t>
      </w:r>
      <w:r>
        <w:rPr>
          <w:rFonts w:hint="eastAsia" w:ascii="宋体" w:hAnsi="宋体" w:eastAsia="宋体" w:cs="宋体"/>
          <w:color w:val="000000" w:themeColor="text1"/>
          <w:sz w:val="32"/>
          <w:szCs w:val="32"/>
        </w:rPr>
        <w:t>万人次，货邮年吞吐量</w:t>
      </w:r>
      <w:r>
        <w:rPr>
          <w:rFonts w:hint="eastAsia" w:ascii="宋体" w:hAnsi="宋体" w:eastAsia="宋体" w:cs="宋体"/>
          <w:color w:val="000000" w:themeColor="text1"/>
          <w:sz w:val="32"/>
          <w:szCs w:val="32"/>
        </w:rPr>
        <w:t>65</w:t>
      </w:r>
      <w:r>
        <w:rPr>
          <w:rFonts w:hint="eastAsia" w:ascii="宋体" w:hAnsi="宋体" w:eastAsia="宋体" w:cs="宋体"/>
          <w:color w:val="000000" w:themeColor="text1"/>
          <w:sz w:val="32"/>
          <w:szCs w:val="32"/>
        </w:rPr>
        <w:t>万吨，控制预留二跑道及一跑道延长空间。规划建设无锡硕放机场通用航空区，规划预留宜兴</w:t>
      </w:r>
      <w:r>
        <w:rPr>
          <w:rFonts w:hint="eastAsia" w:ascii="宋体" w:hAnsi="宋体" w:eastAsia="宋体" w:cs="宋体"/>
          <w:color w:val="000000" w:themeColor="text1"/>
          <w:sz w:val="32"/>
          <w:szCs w:val="32"/>
        </w:rPr>
        <w:t>A</w:t>
      </w:r>
      <w:r>
        <w:rPr>
          <w:rFonts w:hint="eastAsia" w:ascii="宋体" w:hAnsi="宋体" w:eastAsia="宋体" w:cs="宋体"/>
          <w:color w:val="000000" w:themeColor="text1"/>
          <w:sz w:val="32"/>
          <w:szCs w:val="32"/>
        </w:rPr>
        <w:t>类通用机场跑道改扩建空间，规划预控江阴</w:t>
      </w:r>
      <w:r>
        <w:rPr>
          <w:rFonts w:hint="eastAsia" w:ascii="宋体" w:hAnsi="宋体" w:eastAsia="宋体" w:cs="宋体"/>
          <w:color w:val="000000" w:themeColor="text1"/>
          <w:sz w:val="32"/>
          <w:szCs w:val="32"/>
        </w:rPr>
        <w:t>A</w:t>
      </w:r>
      <w:r>
        <w:rPr>
          <w:rFonts w:hint="eastAsia" w:ascii="宋体" w:hAnsi="宋体" w:eastAsia="宋体" w:cs="宋体"/>
          <w:color w:val="000000" w:themeColor="text1"/>
          <w:sz w:val="32"/>
          <w:szCs w:val="32"/>
        </w:rPr>
        <w:t>类通用机场，以及华西、马山、锡山</w:t>
      </w:r>
      <w:r>
        <w:rPr>
          <w:rFonts w:hint="eastAsia" w:ascii="宋体" w:hAnsi="宋体" w:eastAsia="宋体" w:cs="宋体"/>
          <w:color w:val="000000" w:themeColor="text1"/>
          <w:sz w:val="32"/>
          <w:szCs w:val="32"/>
        </w:rPr>
        <w:t>3</w:t>
      </w:r>
      <w:r>
        <w:rPr>
          <w:rFonts w:hint="eastAsia" w:ascii="宋体" w:hAnsi="宋体" w:eastAsia="宋体" w:cs="宋体"/>
          <w:color w:val="000000" w:themeColor="text1"/>
          <w:sz w:val="32"/>
          <w:szCs w:val="32"/>
        </w:rPr>
        <w:t>个</w:t>
      </w:r>
      <w:r>
        <w:rPr>
          <w:rFonts w:hint="eastAsia" w:ascii="宋体" w:hAnsi="宋体" w:eastAsia="宋体" w:cs="宋体"/>
          <w:color w:val="000000" w:themeColor="text1"/>
          <w:sz w:val="32"/>
          <w:szCs w:val="32"/>
        </w:rPr>
        <w:t>B</w:t>
      </w:r>
      <w:r>
        <w:rPr>
          <w:rFonts w:hint="eastAsia" w:ascii="宋体" w:hAnsi="宋体" w:eastAsia="宋体" w:cs="宋体"/>
          <w:color w:val="000000" w:themeColor="text1"/>
          <w:sz w:val="32"/>
          <w:szCs w:val="32"/>
        </w:rPr>
        <w:t>类通用机场建设空间。</w:t>
      </w:r>
    </w:p>
    <w:p w14:paraId="028DBF65">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机场集疏运系统。</w:t>
      </w:r>
      <w:r>
        <w:rPr>
          <w:rFonts w:hint="eastAsia" w:ascii="宋体" w:hAnsi="宋体" w:eastAsia="宋体" w:cs="宋体"/>
          <w:color w:val="000000" w:themeColor="text1"/>
          <w:sz w:val="32"/>
          <w:szCs w:val="32"/>
        </w:rPr>
        <w:t>支撑建设全面覆盖苏锡常都市圈、辐射长三角城市群的区域快速通道体系，形成高速公路、国省干线公路、快速路、轨道交通等多层次、一体化的机场集疏运系统，拓展机场区域</w:t>
      </w:r>
      <w:r>
        <w:rPr>
          <w:rFonts w:hint="eastAsia" w:ascii="宋体" w:hAnsi="宋体" w:eastAsia="宋体" w:cs="宋体"/>
          <w:color w:val="000000" w:themeColor="text1"/>
          <w:sz w:val="32"/>
          <w:szCs w:val="32"/>
        </w:rPr>
        <w:t>辐射</w:t>
      </w:r>
      <w:r>
        <w:rPr>
          <w:rFonts w:hint="eastAsia" w:ascii="宋体" w:hAnsi="宋体" w:eastAsia="宋体" w:cs="宋体"/>
          <w:color w:val="000000" w:themeColor="text1"/>
          <w:sz w:val="32"/>
          <w:szCs w:val="32"/>
        </w:rPr>
        <w:t>功能</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实现无锡和苏州中心城区</w:t>
      </w:r>
      <w:r>
        <w:rPr>
          <w:rFonts w:hint="eastAsia" w:ascii="宋体" w:hAnsi="宋体" w:eastAsia="宋体" w:cs="宋体"/>
          <w:color w:val="000000" w:themeColor="text1"/>
          <w:sz w:val="32"/>
          <w:szCs w:val="32"/>
        </w:rPr>
        <w:t>30</w:t>
      </w:r>
      <w:r>
        <w:rPr>
          <w:rFonts w:hint="eastAsia" w:ascii="宋体" w:hAnsi="宋体" w:eastAsia="宋体" w:cs="宋体"/>
          <w:color w:val="000000" w:themeColor="text1"/>
          <w:sz w:val="32"/>
          <w:szCs w:val="32"/>
        </w:rPr>
        <w:t>分钟可达。</w:t>
      </w:r>
    </w:p>
    <w:p w14:paraId="2FCF6C8F">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铁路</w:t>
      </w:r>
    </w:p>
    <w:p w14:paraId="75EB86D9">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推动干线铁路、城际铁路、市域（郊）铁路融合建设，并做好与城市轨道交通衔接协调。</w:t>
      </w:r>
    </w:p>
    <w:p w14:paraId="14BE90C6">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高速铁路。</w:t>
      </w:r>
      <w:r>
        <w:rPr>
          <w:rFonts w:hint="eastAsia" w:ascii="宋体" w:hAnsi="宋体" w:eastAsia="宋体" w:cs="宋体"/>
          <w:color w:val="000000" w:themeColor="text1"/>
          <w:sz w:val="32"/>
          <w:szCs w:val="32"/>
          <w:u w:val="none"/>
        </w:rPr>
        <w:t>构建</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四横一纵</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的高速铁路网，</w:t>
      </w:r>
      <w:r>
        <w:rPr>
          <w:rFonts w:hint="eastAsia" w:ascii="宋体" w:hAnsi="宋体" w:eastAsia="宋体" w:cs="宋体"/>
          <w:color w:val="000000" w:themeColor="text1"/>
          <w:sz w:val="32"/>
          <w:szCs w:val="32"/>
        </w:rPr>
        <w:t>其中</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四横</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为京沪高铁、沪宁城际铁路、宁杭高铁、沪宁沿江高铁，</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一纵</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为盐泰锡常宜铁路和宜兴至湖州铁路。</w:t>
      </w:r>
    </w:p>
    <w:p w14:paraId="6B267ABE">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城际铁路。</w:t>
      </w:r>
      <w:r>
        <w:rPr>
          <w:rFonts w:hint="eastAsia" w:ascii="宋体" w:hAnsi="宋体" w:eastAsia="宋体" w:cs="宋体"/>
          <w:color w:val="000000" w:themeColor="text1"/>
          <w:sz w:val="32"/>
          <w:szCs w:val="32"/>
        </w:rPr>
        <w:t>预留苏锡常城际铁路通道，强化</w:t>
      </w:r>
      <w:r>
        <w:rPr>
          <w:rFonts w:hint="eastAsia" w:ascii="宋体" w:hAnsi="宋体" w:eastAsia="宋体" w:cs="宋体"/>
          <w:color w:val="000000" w:themeColor="text1"/>
          <w:sz w:val="32"/>
          <w:szCs w:val="32"/>
        </w:rPr>
        <w:t>枢纽联动，串联无锡市、常州市、苏州市中心城区，支撑</w:t>
      </w:r>
      <w:r>
        <w:rPr>
          <w:rFonts w:hint="eastAsia" w:ascii="宋体" w:hAnsi="宋体" w:eastAsia="宋体" w:cs="宋体"/>
          <w:color w:val="000000" w:themeColor="text1"/>
          <w:sz w:val="32"/>
          <w:szCs w:val="32"/>
        </w:rPr>
        <w:t>苏锡常都市圈协同发展。</w:t>
      </w:r>
    </w:p>
    <w:p w14:paraId="5A8B7320">
      <w:pPr>
        <w:pStyle w:val="16"/>
        <w:spacing w:after="0"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市域（郊）铁路。</w:t>
      </w:r>
      <w:r>
        <w:rPr>
          <w:rFonts w:hint="eastAsia" w:ascii="宋体" w:hAnsi="宋体" w:eastAsia="宋体" w:cs="宋体"/>
          <w:color w:val="000000" w:themeColor="text1"/>
          <w:sz w:val="32"/>
          <w:szCs w:val="32"/>
        </w:rPr>
        <w:t>构建互联互通的市域（郊）铁路网，完善都市圈城际，为锡澄靖线、锡宜线、锡虞线、锡张线</w:t>
      </w:r>
      <w:r>
        <w:rPr>
          <w:rFonts w:hint="eastAsia" w:ascii="宋体" w:hAnsi="宋体" w:eastAsia="宋体" w:cs="宋体"/>
          <w:strike w:val="0"/>
          <w:color w:val="000000" w:themeColor="text1"/>
          <w:sz w:val="32"/>
          <w:szCs w:val="32"/>
          <w:highlight w:val="none"/>
        </w:rPr>
        <w:t>和锡宜线南延预留通道</w:t>
      </w:r>
      <w:r>
        <w:rPr>
          <w:rFonts w:hint="eastAsia" w:ascii="宋体" w:hAnsi="宋体" w:eastAsia="宋体" w:cs="宋体"/>
          <w:color w:val="000000" w:themeColor="text1"/>
          <w:sz w:val="32"/>
          <w:szCs w:val="32"/>
        </w:rPr>
        <w:t>。</w:t>
      </w:r>
    </w:p>
    <w:p w14:paraId="0A2012DD">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普速铁路。</w:t>
      </w:r>
      <w:r>
        <w:rPr>
          <w:rFonts w:hint="eastAsia" w:ascii="宋体" w:hAnsi="宋体" w:eastAsia="宋体" w:cs="宋体"/>
          <w:color w:val="000000" w:themeColor="text1"/>
          <w:sz w:val="32"/>
          <w:szCs w:val="32"/>
          <w:u w:val="none"/>
        </w:rPr>
        <w:t>构建</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一横一纵</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的普速铁路网，</w:t>
      </w:r>
      <w:r>
        <w:rPr>
          <w:rFonts w:hint="eastAsia" w:ascii="宋体" w:hAnsi="宋体" w:eastAsia="宋体" w:cs="宋体"/>
          <w:color w:val="000000" w:themeColor="text1"/>
          <w:sz w:val="32"/>
          <w:szCs w:val="32"/>
        </w:rPr>
        <w:t>其中</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一横</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为京沪铁路，</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一纵</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为新长铁路。</w:t>
      </w:r>
    </w:p>
    <w:p w14:paraId="32F5DD41">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客货运枢纽。</w:t>
      </w:r>
      <w:r>
        <w:rPr>
          <w:rFonts w:hint="eastAsia" w:ascii="宋体" w:hAnsi="宋体" w:eastAsia="宋体" w:cs="宋体"/>
          <w:bCs/>
          <w:color w:val="000000" w:themeColor="text1"/>
          <w:sz w:val="32"/>
          <w:szCs w:val="32"/>
          <w:u w:val="none"/>
        </w:rPr>
        <w:t>形成</w:t>
      </w:r>
      <w:r>
        <w:rPr>
          <w:rFonts w:hint="eastAsia" w:ascii="宋体" w:hAnsi="宋体" w:eastAsia="宋体" w:cs="宋体"/>
          <w:bCs/>
          <w:color w:val="000000" w:themeColor="text1"/>
          <w:sz w:val="32"/>
          <w:szCs w:val="32"/>
          <w:u w:val="none"/>
        </w:rPr>
        <w:t>“</w:t>
      </w:r>
      <w:r>
        <w:rPr>
          <w:rFonts w:hint="eastAsia" w:ascii="宋体" w:hAnsi="宋体" w:eastAsia="宋体" w:cs="宋体"/>
          <w:bCs/>
          <w:color w:val="000000" w:themeColor="text1"/>
          <w:sz w:val="32"/>
          <w:szCs w:val="32"/>
          <w:u w:val="none"/>
        </w:rPr>
        <w:t>五主多节点</w:t>
      </w:r>
      <w:r>
        <w:rPr>
          <w:rFonts w:hint="eastAsia" w:ascii="宋体" w:hAnsi="宋体" w:eastAsia="宋体" w:cs="宋体"/>
          <w:bCs/>
          <w:color w:val="000000" w:themeColor="text1"/>
          <w:sz w:val="32"/>
          <w:szCs w:val="32"/>
          <w:u w:val="none"/>
        </w:rPr>
        <w:t>”</w:t>
      </w:r>
      <w:r>
        <w:rPr>
          <w:rFonts w:hint="eastAsia" w:ascii="宋体" w:hAnsi="宋体" w:eastAsia="宋体" w:cs="宋体"/>
          <w:color w:val="000000" w:themeColor="text1"/>
          <w:sz w:val="32"/>
          <w:szCs w:val="32"/>
          <w:u w:val="none"/>
        </w:rPr>
        <w:t>的</w:t>
      </w:r>
      <w:r>
        <w:rPr>
          <w:rFonts w:hint="eastAsia" w:ascii="宋体" w:hAnsi="宋体" w:eastAsia="宋体" w:cs="宋体"/>
          <w:color w:val="000000" w:themeColor="text1"/>
          <w:sz w:val="32"/>
          <w:szCs w:val="32"/>
          <w:u w:val="none"/>
        </w:rPr>
        <w:t>铁路客运枢纽群，</w:t>
      </w:r>
      <w:r>
        <w:rPr>
          <w:rFonts w:hint="eastAsia" w:ascii="宋体" w:hAnsi="宋体" w:eastAsia="宋体" w:cs="宋体"/>
          <w:color w:val="000000" w:themeColor="text1"/>
          <w:sz w:val="32"/>
          <w:szCs w:val="32"/>
        </w:rPr>
        <w:t>其中</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五主</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为</w:t>
      </w:r>
      <w:bookmarkStart w:id="216" w:name="_Hlk174970975"/>
      <w:r>
        <w:rPr>
          <w:rFonts w:hint="eastAsia" w:ascii="宋体" w:hAnsi="宋体" w:eastAsia="宋体" w:cs="宋体"/>
          <w:color w:val="000000" w:themeColor="text1"/>
          <w:sz w:val="32"/>
          <w:szCs w:val="32"/>
        </w:rPr>
        <w:t>无锡站、无锡东站、惠山站、</w:t>
      </w:r>
      <w:bookmarkEnd w:id="216"/>
      <w:r>
        <w:rPr>
          <w:rFonts w:hint="eastAsia" w:ascii="宋体" w:hAnsi="宋体" w:eastAsia="宋体" w:cs="宋体"/>
          <w:color w:val="000000" w:themeColor="text1"/>
          <w:sz w:val="32"/>
          <w:szCs w:val="32"/>
        </w:rPr>
        <w:t>江阴站、宜兴站，</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多节点</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为无锡新区站、太湖新城站、硕放机场站、蠡湖站、太湖西站等。</w:t>
      </w:r>
      <w:r>
        <w:rPr>
          <w:rFonts w:hint="eastAsia" w:ascii="宋体" w:hAnsi="宋体" w:eastAsia="宋体" w:cs="宋体"/>
          <w:color w:val="000000" w:themeColor="text1"/>
          <w:sz w:val="32"/>
          <w:szCs w:val="32"/>
          <w:u w:val="none"/>
        </w:rPr>
        <w:t>规划</w:t>
      </w:r>
      <w:r>
        <w:rPr>
          <w:rFonts w:hint="eastAsia" w:ascii="宋体" w:hAnsi="宋体" w:eastAsia="宋体" w:cs="宋体"/>
          <w:color w:val="000000" w:themeColor="text1"/>
          <w:sz w:val="32"/>
          <w:szCs w:val="32"/>
          <w:u w:val="none"/>
        </w:rPr>
        <w:t>9</w:t>
      </w:r>
      <w:r>
        <w:rPr>
          <w:rFonts w:hint="eastAsia" w:ascii="宋体" w:hAnsi="宋体" w:eastAsia="宋体" w:cs="宋体"/>
          <w:color w:val="000000" w:themeColor="text1"/>
          <w:sz w:val="32"/>
          <w:szCs w:val="32"/>
          <w:u w:val="none"/>
        </w:rPr>
        <w:t>处铁路货运枢纽，</w:t>
      </w:r>
      <w:r>
        <w:rPr>
          <w:rFonts w:hint="eastAsia" w:ascii="宋体" w:hAnsi="宋体" w:eastAsia="宋体" w:cs="宋体"/>
          <w:color w:val="000000" w:themeColor="text1"/>
          <w:sz w:val="32"/>
          <w:szCs w:val="32"/>
        </w:rPr>
        <w:t>为无锡南站、周泾巷站、硕放站、无锡北站、前洲站、无锡西站、宜兴北站、丁山站和月城站。</w:t>
      </w:r>
    </w:p>
    <w:p w14:paraId="435F1AD6">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公路</w:t>
      </w:r>
    </w:p>
    <w:p w14:paraId="6B39BA22">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u w:val="none"/>
        </w:rPr>
        <w:t>构建</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五横五纵三联</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的高速公路网，</w:t>
      </w:r>
      <w:r>
        <w:rPr>
          <w:rFonts w:hint="eastAsia" w:ascii="宋体" w:hAnsi="宋体" w:eastAsia="宋体" w:cs="宋体"/>
          <w:color w:val="000000" w:themeColor="text1"/>
          <w:sz w:val="32"/>
          <w:szCs w:val="32"/>
        </w:rPr>
        <w:t>其中</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五横</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为沪武高速、锡宜高速</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锡太高速、沪蓉高速、沪常高速、长深高速，</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五纵</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为京沪高速、金宜高速</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宜长高速、常宜高速、通锡高速、泰常高速，</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三联</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为江阴靖江长江隧道南接线、靖澄东线高速、苏张高速。</w:t>
      </w:r>
    </w:p>
    <w:p w14:paraId="2D9161A7">
      <w:pPr>
        <w:spacing w:line="600" w:lineRule="exact"/>
        <w:ind w:firstLine="640" w:firstLineChars="200"/>
        <w:rPr>
          <w:rFonts w:hint="eastAsia" w:ascii="宋体" w:hAnsi="宋体" w:eastAsia="宋体" w:cs="宋体"/>
          <w:color w:val="000000" w:themeColor="text1"/>
        </w:rPr>
      </w:pPr>
      <w:r>
        <w:rPr>
          <w:rFonts w:hint="eastAsia" w:ascii="宋体" w:hAnsi="宋体" w:eastAsia="宋体" w:cs="宋体"/>
          <w:color w:val="000000" w:themeColor="text1"/>
          <w:sz w:val="32"/>
          <w:szCs w:val="32"/>
          <w:u w:val="none"/>
        </w:rPr>
        <w:t>规划</w:t>
      </w:r>
      <w:r>
        <w:rPr>
          <w:rFonts w:hint="eastAsia" w:ascii="宋体" w:hAnsi="宋体" w:eastAsia="宋体" w:cs="宋体"/>
          <w:color w:val="000000" w:themeColor="text1"/>
          <w:sz w:val="32"/>
          <w:szCs w:val="32"/>
          <w:u w:val="none"/>
        </w:rPr>
        <w:t>7</w:t>
      </w:r>
      <w:r>
        <w:rPr>
          <w:rFonts w:hint="eastAsia" w:ascii="宋体" w:hAnsi="宋体" w:eastAsia="宋体" w:cs="宋体"/>
          <w:color w:val="000000" w:themeColor="text1"/>
          <w:sz w:val="32"/>
          <w:szCs w:val="32"/>
          <w:u w:val="none"/>
        </w:rPr>
        <w:t>处公路客运枢纽，</w:t>
      </w:r>
      <w:r>
        <w:rPr>
          <w:rFonts w:hint="eastAsia" w:ascii="宋体" w:hAnsi="宋体" w:eastAsia="宋体" w:cs="宋体"/>
          <w:color w:val="000000" w:themeColor="text1"/>
          <w:sz w:val="32"/>
          <w:szCs w:val="32"/>
        </w:rPr>
        <w:t>为无锡汽车客运站、无锡汽车客运东站、惠山汽车客运站、空港汽车站、江阴汽车客运站、宜兴汽车客运南站和宜兴汽车客运站。</w:t>
      </w:r>
    </w:p>
    <w:p w14:paraId="694E30B5">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水运</w:t>
      </w:r>
    </w:p>
    <w:p w14:paraId="185FA471">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港区布局。</w:t>
      </w:r>
      <w:r>
        <w:rPr>
          <w:rFonts w:hint="eastAsia" w:ascii="宋体" w:hAnsi="宋体" w:eastAsia="宋体" w:cs="宋体"/>
          <w:color w:val="000000" w:themeColor="text1"/>
          <w:sz w:val="32"/>
          <w:szCs w:val="32"/>
        </w:rPr>
        <w:t>依托无锡（江阴）港，统筹布局石利港区、申夏港区、黄田港港区和长山港区四个港区，</w:t>
      </w:r>
      <w:r>
        <w:rPr>
          <w:rFonts w:hint="eastAsia" w:ascii="宋体" w:hAnsi="宋体" w:eastAsia="宋体" w:cs="宋体"/>
          <w:color w:val="000000" w:themeColor="text1"/>
          <w:sz w:val="32"/>
          <w:szCs w:val="32"/>
          <w:u w:val="none"/>
        </w:rPr>
        <w:t>形成</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一港四区</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的总体格局，</w:t>
      </w:r>
      <w:r>
        <w:rPr>
          <w:rFonts w:hint="eastAsia" w:ascii="宋体" w:hAnsi="宋体" w:eastAsia="宋体" w:cs="宋体"/>
          <w:bCs/>
          <w:color w:val="000000" w:themeColor="text1"/>
          <w:sz w:val="32"/>
          <w:szCs w:val="32"/>
        </w:rPr>
        <w:t>强化</w:t>
      </w:r>
      <w:r>
        <w:rPr>
          <w:rFonts w:hint="eastAsia" w:ascii="宋体" w:hAnsi="宋体" w:eastAsia="宋体" w:cs="宋体"/>
          <w:color w:val="000000" w:themeColor="text1"/>
          <w:sz w:val="32"/>
          <w:szCs w:val="32"/>
        </w:rPr>
        <w:t>无锡（江阴）港苏南地区多式联运、长江干线江海河转运的重要枢纽功能。加强港口岸线资源管理，加快规模化、集约化的公用码头发展。</w:t>
      </w:r>
    </w:p>
    <w:p w14:paraId="0FBB83FA">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联运体系。</w:t>
      </w:r>
      <w:r>
        <w:rPr>
          <w:rFonts w:hint="eastAsia" w:ascii="宋体" w:hAnsi="宋体" w:eastAsia="宋体" w:cs="宋体"/>
          <w:color w:val="000000" w:themeColor="text1"/>
          <w:sz w:val="32"/>
          <w:szCs w:val="32"/>
        </w:rPr>
        <w:t>由新长铁路月城站引出无锡（江阴）港疏港铁路专用线，强化无锡（江阴）港铁水联运功能。增强港区与高速公路、国省干线公路快速连通性，提升公水联运功能。推进干线航道网建设，提高无锡高等级航道的达标率和区域干线航道的成网度，提升水水中转效率。</w:t>
      </w:r>
    </w:p>
    <w:p w14:paraId="1C080A7D">
      <w:pPr>
        <w:pStyle w:val="3"/>
        <w:numPr>
          <w:ilvl w:val="0"/>
          <w:numId w:val="9"/>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217" w:name="_Toc9919"/>
      <w:bookmarkStart w:id="218" w:name="_Toc185189095"/>
      <w:bookmarkStart w:id="219" w:name="_Toc176945828"/>
      <w:bookmarkStart w:id="220" w:name="_Toc161582265"/>
      <w:bookmarkStart w:id="221" w:name="_Toc156410596"/>
      <w:bookmarkStart w:id="222" w:name="_Toc139397187"/>
      <w:r>
        <w:rPr>
          <w:rFonts w:hint="eastAsia" w:ascii="宋体" w:hAnsi="宋体" w:eastAsia="宋体" w:cs="宋体"/>
          <w:b w:val="0"/>
          <w:bCs w:val="0"/>
          <w:color w:val="000000" w:themeColor="text1"/>
        </w:rPr>
        <w:t>市域交通</w:t>
      </w:r>
      <w:bookmarkEnd w:id="217"/>
      <w:bookmarkEnd w:id="218"/>
      <w:bookmarkEnd w:id="219"/>
      <w:bookmarkEnd w:id="220"/>
      <w:bookmarkEnd w:id="221"/>
      <w:bookmarkEnd w:id="222"/>
    </w:p>
    <w:p w14:paraId="3DC815B7">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市域轨道</w:t>
      </w:r>
    </w:p>
    <w:p w14:paraId="559680AF">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构建</w:t>
      </w:r>
      <w:r>
        <w:rPr>
          <w:rFonts w:hint="eastAsia" w:ascii="宋体" w:hAnsi="宋体" w:eastAsia="宋体" w:cs="宋体"/>
          <w:color w:val="000000" w:themeColor="text1"/>
          <w:sz w:val="32"/>
          <w:szCs w:val="32"/>
        </w:rPr>
        <w:t>T</w:t>
      </w:r>
      <w:r>
        <w:rPr>
          <w:rFonts w:hint="eastAsia" w:ascii="宋体" w:hAnsi="宋体" w:eastAsia="宋体" w:cs="宋体"/>
          <w:color w:val="000000" w:themeColor="text1"/>
          <w:sz w:val="32"/>
          <w:szCs w:val="32"/>
        </w:rPr>
        <w:t>型开放式市域轨道系统，分别为锡澄轨道交通</w:t>
      </w:r>
      <w:r>
        <w:rPr>
          <w:rFonts w:hint="eastAsia" w:ascii="宋体" w:hAnsi="宋体" w:eastAsia="宋体" w:cs="宋体"/>
          <w:color w:val="000000" w:themeColor="text1"/>
          <w:sz w:val="32"/>
          <w:szCs w:val="32"/>
        </w:rPr>
        <w:t>S1</w:t>
      </w:r>
      <w:r>
        <w:rPr>
          <w:rFonts w:hint="eastAsia" w:ascii="宋体" w:hAnsi="宋体" w:eastAsia="宋体" w:cs="宋体"/>
          <w:color w:val="000000" w:themeColor="text1"/>
          <w:sz w:val="32"/>
          <w:szCs w:val="32"/>
        </w:rPr>
        <w:t>线、锡宜轨道交通</w:t>
      </w:r>
      <w:r>
        <w:rPr>
          <w:rFonts w:hint="eastAsia" w:ascii="宋体" w:hAnsi="宋体" w:eastAsia="宋体" w:cs="宋体"/>
          <w:color w:val="000000" w:themeColor="text1"/>
          <w:sz w:val="32"/>
          <w:szCs w:val="32"/>
        </w:rPr>
        <w:t>S2</w:t>
      </w:r>
      <w:r>
        <w:rPr>
          <w:rFonts w:hint="eastAsia" w:ascii="宋体" w:hAnsi="宋体" w:eastAsia="宋体" w:cs="宋体"/>
          <w:color w:val="000000" w:themeColor="text1"/>
          <w:sz w:val="32"/>
          <w:szCs w:val="32"/>
        </w:rPr>
        <w:t>线，实现无锡市、江阴市、宜兴市中心城区之间</w:t>
      </w:r>
      <w:r>
        <w:rPr>
          <w:rFonts w:hint="eastAsia" w:ascii="宋体" w:hAnsi="宋体" w:eastAsia="宋体" w:cs="宋体"/>
          <w:color w:val="000000" w:themeColor="text1"/>
          <w:sz w:val="32"/>
          <w:szCs w:val="32"/>
        </w:rPr>
        <w:t>30</w:t>
      </w:r>
      <w:r>
        <w:rPr>
          <w:rFonts w:hint="eastAsia" w:ascii="宋体" w:hAnsi="宋体" w:eastAsia="宋体" w:cs="宋体"/>
          <w:color w:val="000000" w:themeColor="text1"/>
          <w:sz w:val="32"/>
          <w:szCs w:val="32"/>
        </w:rPr>
        <w:t>分钟可达。</w:t>
      </w:r>
    </w:p>
    <w:p w14:paraId="7AC2A827">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锡澄轨道交通</w:t>
      </w:r>
      <w:r>
        <w:rPr>
          <w:rFonts w:hint="eastAsia" w:ascii="宋体" w:hAnsi="宋体" w:eastAsia="宋体" w:cs="宋体"/>
          <w:color w:val="000000" w:themeColor="text1"/>
          <w:sz w:val="32"/>
          <w:szCs w:val="32"/>
        </w:rPr>
        <w:t>S1</w:t>
      </w:r>
      <w:r>
        <w:rPr>
          <w:rFonts w:hint="eastAsia" w:ascii="宋体" w:hAnsi="宋体" w:eastAsia="宋体" w:cs="宋体"/>
          <w:color w:val="000000" w:themeColor="text1"/>
          <w:sz w:val="32"/>
          <w:szCs w:val="32"/>
        </w:rPr>
        <w:t>线连接市辖区与江阴市，向北预留靖江市方向通道，向南预留苏州市方向通道。市辖区采用主线、支线相结合的形式，主线自北向南串联惠山片区、梁溪城区和太湖新城区，支线连接无锡东站和无锡硕放机场。</w:t>
      </w:r>
    </w:p>
    <w:p w14:paraId="636EF86E">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锡宜轨道交通</w:t>
      </w:r>
      <w:r>
        <w:rPr>
          <w:rFonts w:hint="eastAsia" w:ascii="宋体" w:hAnsi="宋体" w:eastAsia="宋体" w:cs="宋体"/>
          <w:color w:val="000000" w:themeColor="text1"/>
          <w:sz w:val="32"/>
          <w:szCs w:val="32"/>
        </w:rPr>
        <w:t>S2</w:t>
      </w:r>
      <w:r>
        <w:rPr>
          <w:rFonts w:hint="eastAsia" w:ascii="宋体" w:hAnsi="宋体" w:eastAsia="宋体" w:cs="宋体"/>
          <w:color w:val="000000" w:themeColor="text1"/>
          <w:sz w:val="32"/>
          <w:szCs w:val="32"/>
        </w:rPr>
        <w:t>线连接市辖区与宜兴市，远期与锡张线、锡虞线贯通。线路自西向东串联宜兴市中心城区、周铁镇、马山街道、太湖新城区和无锡硕放机场。</w:t>
      </w:r>
    </w:p>
    <w:p w14:paraId="12D4BBBA">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公路干线</w:t>
      </w:r>
    </w:p>
    <w:p w14:paraId="0A62766A">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u w:val="none"/>
        </w:rPr>
        <w:t>构建</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三横一纵</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的</w:t>
      </w:r>
      <w:r>
        <w:rPr>
          <w:rFonts w:hint="eastAsia" w:ascii="宋体" w:hAnsi="宋体" w:eastAsia="宋体" w:cs="宋体"/>
          <w:color w:val="000000" w:themeColor="text1"/>
          <w:sz w:val="32"/>
          <w:szCs w:val="32"/>
          <w:u w:val="none"/>
        </w:rPr>
        <w:t>普通国道网</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七横十一纵</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rPr>
        <w:t>的</w:t>
      </w:r>
      <w:r>
        <w:rPr>
          <w:rFonts w:hint="eastAsia" w:ascii="宋体" w:hAnsi="宋体" w:eastAsia="宋体" w:cs="宋体"/>
          <w:color w:val="000000" w:themeColor="text1"/>
          <w:sz w:val="32"/>
          <w:szCs w:val="32"/>
          <w:u w:val="none"/>
        </w:rPr>
        <w:t>普通省道网</w:t>
      </w:r>
      <w:r>
        <w:rPr>
          <w:rFonts w:hint="eastAsia" w:ascii="宋体" w:hAnsi="宋体" w:eastAsia="宋体" w:cs="宋体"/>
          <w:color w:val="000000" w:themeColor="text1"/>
          <w:sz w:val="32"/>
          <w:szCs w:val="32"/>
        </w:rPr>
        <w:t>。</w:t>
      </w:r>
      <w:r>
        <w:rPr>
          <w:rFonts w:hint="eastAsia" w:ascii="宋体" w:hAnsi="宋体" w:eastAsia="宋体" w:cs="宋体"/>
          <w:b w:val="0"/>
          <w:color w:val="000000" w:themeColor="text1"/>
          <w:sz w:val="32"/>
          <w:szCs w:val="32"/>
        </w:rPr>
        <w:t>锡澄道路一体化</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u w:val="none"/>
        </w:rPr>
        <w:t>构建</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四高四快六干线</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rPr>
        <w:t>的</w:t>
      </w:r>
      <w:r>
        <w:rPr>
          <w:rFonts w:hint="eastAsia" w:ascii="宋体" w:hAnsi="宋体" w:eastAsia="宋体" w:cs="宋体"/>
          <w:color w:val="000000" w:themeColor="text1"/>
          <w:sz w:val="32"/>
          <w:szCs w:val="32"/>
          <w:u w:val="none"/>
        </w:rPr>
        <w:t>干线通道</w:t>
      </w:r>
      <w:r>
        <w:rPr>
          <w:rFonts w:hint="eastAsia" w:ascii="宋体" w:hAnsi="宋体" w:eastAsia="宋体" w:cs="宋体"/>
          <w:color w:val="000000" w:themeColor="text1"/>
          <w:sz w:val="32"/>
          <w:szCs w:val="32"/>
        </w:rPr>
        <w:t>。</w:t>
      </w:r>
      <w:r>
        <w:rPr>
          <w:rFonts w:hint="eastAsia" w:ascii="宋体" w:hAnsi="宋体" w:eastAsia="宋体" w:cs="宋体"/>
          <w:b w:val="0"/>
          <w:color w:val="000000" w:themeColor="text1"/>
          <w:sz w:val="32"/>
          <w:szCs w:val="32"/>
        </w:rPr>
        <w:t>锡宜道路一体化</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u w:val="none"/>
        </w:rPr>
        <w:t>构建</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两高两快两普</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rPr>
        <w:t>的</w:t>
      </w:r>
      <w:r>
        <w:rPr>
          <w:rFonts w:hint="eastAsia" w:ascii="宋体" w:hAnsi="宋体" w:eastAsia="宋体" w:cs="宋体"/>
          <w:color w:val="000000" w:themeColor="text1"/>
          <w:sz w:val="32"/>
          <w:szCs w:val="32"/>
          <w:u w:val="none"/>
        </w:rPr>
        <w:t>干线通道</w:t>
      </w:r>
      <w:r>
        <w:rPr>
          <w:rFonts w:hint="eastAsia" w:ascii="宋体" w:hAnsi="宋体" w:eastAsia="宋体" w:cs="宋体"/>
          <w:color w:val="000000" w:themeColor="text1"/>
          <w:sz w:val="32"/>
          <w:szCs w:val="32"/>
        </w:rPr>
        <w:t>。</w:t>
      </w:r>
    </w:p>
    <w:p w14:paraId="7D82CC79">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内河航运</w:t>
      </w:r>
    </w:p>
    <w:p w14:paraId="41EA6D9C">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u w:val="none"/>
        </w:rPr>
        <w:t>构建</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两横六纵多联</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内河航道网，规划江阴港区、宜兴港区、惠山港区、新吴港区、锡山港区和中心港区</w:t>
      </w:r>
      <w:r>
        <w:rPr>
          <w:rFonts w:hint="eastAsia" w:ascii="宋体" w:hAnsi="宋体" w:eastAsia="宋体" w:cs="宋体"/>
          <w:color w:val="000000" w:themeColor="text1"/>
          <w:sz w:val="32"/>
          <w:szCs w:val="32"/>
          <w:u w:val="none"/>
        </w:rPr>
        <w:t>6</w:t>
      </w:r>
      <w:r>
        <w:rPr>
          <w:rFonts w:hint="eastAsia" w:ascii="宋体" w:hAnsi="宋体" w:eastAsia="宋体" w:cs="宋体"/>
          <w:color w:val="000000" w:themeColor="text1"/>
          <w:sz w:val="32"/>
          <w:szCs w:val="32"/>
          <w:u w:val="none"/>
        </w:rPr>
        <w:t>个港区。</w:t>
      </w:r>
    </w:p>
    <w:p w14:paraId="0119F3F2">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过江通道</w:t>
      </w:r>
    </w:p>
    <w:p w14:paraId="706608DE">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u w:val="none"/>
        </w:rPr>
        <w:t>规划</w:t>
      </w:r>
      <w:r>
        <w:rPr>
          <w:rFonts w:hint="eastAsia" w:ascii="宋体" w:hAnsi="宋体" w:eastAsia="宋体" w:cs="宋体"/>
          <w:color w:val="000000" w:themeColor="text1"/>
          <w:sz w:val="32"/>
          <w:szCs w:val="32"/>
          <w:u w:val="none"/>
        </w:rPr>
        <w:t>4</w:t>
      </w:r>
      <w:r>
        <w:rPr>
          <w:rFonts w:hint="eastAsia" w:ascii="宋体" w:hAnsi="宋体" w:eastAsia="宋体" w:cs="宋体"/>
          <w:color w:val="000000" w:themeColor="text1"/>
          <w:sz w:val="32"/>
          <w:szCs w:val="32"/>
          <w:u w:val="none"/>
        </w:rPr>
        <w:t>处过江通道，</w:t>
      </w:r>
      <w:r>
        <w:rPr>
          <w:rFonts w:hint="eastAsia" w:ascii="宋体" w:hAnsi="宋体" w:eastAsia="宋体" w:cs="宋体"/>
          <w:color w:val="000000" w:themeColor="text1"/>
          <w:sz w:val="32"/>
          <w:szCs w:val="32"/>
        </w:rPr>
        <w:t>分别为江阴长江大桥、江阴靖江长江隧道、江阴第三过江通道和靖澄过江通道。完善过江通道布局，强化区域交通网络，促进跨江融合发展。</w:t>
      </w:r>
    </w:p>
    <w:p w14:paraId="1EC872F6">
      <w:pPr>
        <w:pStyle w:val="3"/>
        <w:numPr>
          <w:ilvl w:val="0"/>
          <w:numId w:val="9"/>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223" w:name="_Toc176945829"/>
      <w:bookmarkStart w:id="224" w:name="_Toc185189096"/>
      <w:bookmarkStart w:id="225" w:name="_Toc28356"/>
      <w:r>
        <w:rPr>
          <w:rFonts w:hint="eastAsia" w:ascii="宋体" w:hAnsi="宋体" w:eastAsia="宋体" w:cs="宋体"/>
          <w:b w:val="0"/>
          <w:bCs w:val="0"/>
          <w:color w:val="000000" w:themeColor="text1"/>
        </w:rPr>
        <w:t>市辖区交通</w:t>
      </w:r>
      <w:bookmarkEnd w:id="223"/>
      <w:bookmarkEnd w:id="224"/>
      <w:bookmarkEnd w:id="225"/>
    </w:p>
    <w:p w14:paraId="24100593">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骨干道路</w:t>
      </w:r>
    </w:p>
    <w:p w14:paraId="3E9756F3">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u w:val="none"/>
        </w:rPr>
        <w:t>构建</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两环、十四射、三联</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的一体化、开放式快速路网系统。</w:t>
      </w:r>
      <w:r>
        <w:rPr>
          <w:rFonts w:hint="eastAsia" w:ascii="宋体" w:hAnsi="宋体" w:eastAsia="宋体" w:cs="宋体"/>
          <w:color w:val="000000" w:themeColor="text1"/>
          <w:sz w:val="32"/>
        </w:rPr>
        <w:t>构建分级合理、规模适当的城市干路网，与快速路网和支路网衔接，承担中长距离交通运输功能。</w:t>
      </w:r>
    </w:p>
    <w:p w14:paraId="5068B2D1">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rPr>
        <w:t>依据因地制宜、集约紧凑原则，合理确定道路红线宽度，快速路立交段和匝道展宽段道路红线根据设计方案确定。加强骨干道路红线管理，明确规划管控要求。</w:t>
      </w:r>
    </w:p>
    <w:p w14:paraId="5E74D4EF">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城市轨道</w:t>
      </w:r>
    </w:p>
    <w:p w14:paraId="1A6A5B14">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构建规模合理、层次清晰的轨道交通运输网络，加强城市轨道线网串联对外交通枢纽、城市中心、特色副中心等核心功能区，覆盖主要客流走廊，支撑城市空间布局优化。规划苏锡轨道快线</w:t>
      </w:r>
      <w:r>
        <w:rPr>
          <w:rFonts w:hint="eastAsia" w:ascii="宋体" w:hAnsi="宋体" w:eastAsia="宋体" w:cs="宋体"/>
          <w:color w:val="000000" w:themeColor="text1"/>
          <w:sz w:val="32"/>
          <w:szCs w:val="32"/>
          <w:lang w:eastAsia="zh-CN"/>
        </w:rPr>
        <w:t>。</w:t>
      </w:r>
      <w:r>
        <w:rPr>
          <w:rFonts w:hint="eastAsia" w:ascii="宋体" w:hAnsi="宋体" w:eastAsia="宋体" w:cs="宋体"/>
          <w:color w:val="000000" w:themeColor="text1"/>
          <w:sz w:val="32"/>
          <w:szCs w:val="32"/>
        </w:rPr>
        <w:t>培育中运量公交系统，作为轨道交通的延伸、过渡与补充，服务于中心城区边缘、外围片区及外围城镇组团。引导城市空间拓展，根据地方需求与实际情况选择适宜的建设模式。</w:t>
      </w:r>
    </w:p>
    <w:p w14:paraId="43B5CC77">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货运交通</w:t>
      </w:r>
    </w:p>
    <w:p w14:paraId="5ED88CEA">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构建市辖区货运保护环，考虑货运廊道区域功能，充分利用国省干线公路，强化货运功能，做到客货分离。</w:t>
      </w:r>
      <w:r>
        <w:rPr>
          <w:rFonts w:hint="eastAsia" w:ascii="宋体" w:hAnsi="宋体" w:eastAsia="宋体" w:cs="宋体"/>
          <w:color w:val="000000" w:themeColor="text1"/>
          <w:sz w:val="32"/>
          <w:szCs w:val="32"/>
          <w:u w:val="none"/>
        </w:rPr>
        <w:t>规划</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共线半环</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七射</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的货运主骨架廊道</w:t>
      </w:r>
      <w:r>
        <w:rPr>
          <w:rFonts w:hint="eastAsia" w:ascii="宋体" w:hAnsi="宋体" w:eastAsia="宋体" w:cs="宋体"/>
          <w:color w:val="000000" w:themeColor="text1"/>
          <w:sz w:val="32"/>
          <w:szCs w:val="32"/>
        </w:rPr>
        <w:t>。</w:t>
      </w:r>
    </w:p>
    <w:p w14:paraId="5003FB15">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综合枢纽</w:t>
      </w:r>
    </w:p>
    <w:p w14:paraId="22C06B9E">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客运枢纽。</w:t>
      </w:r>
      <w:r>
        <w:rPr>
          <w:rFonts w:hint="eastAsia" w:ascii="宋体" w:hAnsi="宋体" w:eastAsia="宋体" w:cs="宋体"/>
          <w:color w:val="000000" w:themeColor="text1"/>
          <w:sz w:val="32"/>
          <w:szCs w:val="32"/>
        </w:rPr>
        <w:t>构建布局合理、功能完善的客运枢纽设施体系，保障城市内外交通高效转换。结合航空、铁路、公路等大型对外交通设施，配套地铁、地面公交，形成硕放机场、无锡站、无锡东站、惠山站、无锡新区站、太湖新城站</w:t>
      </w:r>
      <w:r>
        <w:rPr>
          <w:rFonts w:hint="eastAsia" w:ascii="宋体" w:hAnsi="宋体" w:eastAsia="宋体" w:cs="宋体"/>
          <w:color w:val="000000" w:themeColor="text1"/>
          <w:sz w:val="32"/>
          <w:szCs w:val="32"/>
        </w:rPr>
        <w:t>6</w:t>
      </w:r>
      <w:r>
        <w:rPr>
          <w:rFonts w:hint="eastAsia" w:ascii="宋体" w:hAnsi="宋体" w:eastAsia="宋体" w:cs="宋体"/>
          <w:color w:val="000000" w:themeColor="text1"/>
          <w:sz w:val="32"/>
          <w:szCs w:val="32"/>
        </w:rPr>
        <w:t>处区域对外枢纽。结合城市中心节点与轨道站点布局，配套公共交通、慢行交通设施，形成片区中心枢纽。结合外围片区及组团中心节点，配套公共交通、慢行交通设施，形成片区组团枢纽。</w:t>
      </w:r>
    </w:p>
    <w:p w14:paraId="09B015D7">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货运枢纽。</w:t>
      </w:r>
      <w:r>
        <w:rPr>
          <w:rFonts w:hint="eastAsia" w:ascii="宋体" w:hAnsi="宋体" w:eastAsia="宋体" w:cs="宋体"/>
          <w:color w:val="000000" w:themeColor="text1"/>
          <w:sz w:val="32"/>
          <w:szCs w:val="32"/>
        </w:rPr>
        <w:t>依托京杭运河、京沪铁路、新长铁路等，重点布局西站物流园、高新空港物流园、新港物流园、石塘湾铁水联运物流园。依托无锡硕放机场，发展航空口岸运输，重点布局苏南快递产业集聚区。依托便捷高效的公路网络，重点布局玉祁物流园、农产品物流园、锡山物流园。</w:t>
      </w:r>
    </w:p>
    <w:p w14:paraId="17BA7B50">
      <w:pPr>
        <w:pStyle w:val="3"/>
        <w:numPr>
          <w:ilvl w:val="0"/>
          <w:numId w:val="9"/>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226" w:name="_Toc25335"/>
      <w:bookmarkStart w:id="227" w:name="_Toc185189097"/>
      <w:bookmarkStart w:id="228" w:name="_Toc176945830"/>
      <w:r>
        <w:rPr>
          <w:rFonts w:hint="eastAsia" w:ascii="宋体" w:hAnsi="宋体" w:eastAsia="宋体" w:cs="宋体"/>
          <w:b w:val="0"/>
          <w:bCs w:val="0"/>
          <w:color w:val="000000" w:themeColor="text1"/>
        </w:rPr>
        <w:t>中心城区交通</w:t>
      </w:r>
      <w:bookmarkEnd w:id="226"/>
      <w:bookmarkEnd w:id="227"/>
      <w:bookmarkEnd w:id="228"/>
    </w:p>
    <w:p w14:paraId="12F15A62">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道路交通</w:t>
      </w:r>
    </w:p>
    <w:p w14:paraId="500D1514">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提高道路网密度，推进重点片区及重要交通枢纽周边道路网建设。优化城市更新地区道路网布局，提升次干路、支路建设水平，促进中心城区城市道路网体系完善。</w:t>
      </w:r>
    </w:p>
    <w:p w14:paraId="1E8686F6">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常规公交</w:t>
      </w:r>
    </w:p>
    <w:p w14:paraId="43E07E7C">
      <w:pPr>
        <w:spacing w:line="600" w:lineRule="exact"/>
        <w:ind w:firstLine="640" w:firstLineChars="200"/>
        <w:rPr>
          <w:rFonts w:hint="eastAsia" w:ascii="宋体" w:hAnsi="宋体" w:eastAsia="宋体" w:cs="宋体"/>
          <w:color w:val="000000" w:themeColor="text1"/>
        </w:rPr>
      </w:pPr>
      <w:r>
        <w:rPr>
          <w:rFonts w:hint="eastAsia" w:ascii="宋体" w:hAnsi="宋体" w:eastAsia="宋体" w:cs="宋体"/>
          <w:color w:val="000000" w:themeColor="text1"/>
          <w:sz w:val="32"/>
          <w:szCs w:val="32"/>
        </w:rPr>
        <w:t>完善以常规公交为主体的多层次公共交通服务体系，提升公交运营效率。构建公交主干线、次干线和支线三个层次的常规公交线网，形成层次分明、覆盖全面、换乘便捷的公交线网体系。</w:t>
      </w:r>
    </w:p>
    <w:p w14:paraId="6F5A7F32">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静态交通</w:t>
      </w:r>
    </w:p>
    <w:p w14:paraId="4838A376">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构建以配建停车设施为主体、公共停车设施为辅助的停车设施供给体系，实施差异化的停车分区管理策略。合理利用地上地下空间，保障基本停车空间需求。鼓励共享停车，便捷停车换乘，提升智能化管理水平。</w:t>
      </w:r>
    </w:p>
    <w:p w14:paraId="3A43899B">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步行与自行车交通</w:t>
      </w:r>
    </w:p>
    <w:p w14:paraId="001D91E2">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坚持以人为本，构建与无锡历史文化名城相适应、与机动车发展相协调、与公共交通良好衔接，具有无锡特色的步行与自行车交通系统，优先鼓励步行和自行车交通。</w:t>
      </w:r>
    </w:p>
    <w:p w14:paraId="67F29200">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br w:type="page"/>
      </w:r>
    </w:p>
    <w:p w14:paraId="287BE76B">
      <w:pPr>
        <w:pStyle w:val="2"/>
        <w:numPr>
          <w:ilvl w:val="0"/>
          <w:numId w:val="2"/>
        </w:numPr>
        <w:snapToGrid w:val="0"/>
        <w:spacing w:before="0" w:after="156" w:afterLines="50" w:line="500" w:lineRule="exact"/>
        <w:ind w:left="0" w:firstLine="0"/>
        <w:jc w:val="center"/>
        <w:rPr>
          <w:rFonts w:hint="eastAsia" w:ascii="宋体" w:hAnsi="宋体" w:eastAsia="宋体" w:cs="宋体"/>
          <w:b w:val="0"/>
          <w:color w:val="000000" w:themeColor="text1"/>
          <w:sz w:val="36"/>
          <w:szCs w:val="36"/>
        </w:rPr>
      </w:pPr>
      <w:bookmarkStart w:id="229" w:name="_Toc139397190"/>
      <w:bookmarkStart w:id="230" w:name="_Toc156410599"/>
      <w:bookmarkStart w:id="231" w:name="_Toc161582268"/>
      <w:bookmarkStart w:id="232" w:name="_Toc176945831"/>
      <w:bookmarkStart w:id="233" w:name="_Toc9934"/>
      <w:bookmarkStart w:id="234" w:name="_Toc185189098"/>
      <w:r>
        <w:rPr>
          <w:rFonts w:hint="eastAsia" w:ascii="宋体" w:hAnsi="宋体" w:eastAsia="宋体" w:cs="宋体"/>
          <w:b w:val="0"/>
          <w:color w:val="000000" w:themeColor="text1"/>
          <w:sz w:val="36"/>
          <w:szCs w:val="36"/>
        </w:rPr>
        <w:t>市政基础设施与</w:t>
      </w:r>
      <w:bookmarkEnd w:id="229"/>
      <w:bookmarkEnd w:id="230"/>
      <w:bookmarkEnd w:id="231"/>
      <w:r>
        <w:rPr>
          <w:rFonts w:hint="eastAsia" w:ascii="宋体" w:hAnsi="宋体" w:eastAsia="宋体" w:cs="宋体"/>
          <w:b w:val="0"/>
          <w:color w:val="000000" w:themeColor="text1"/>
          <w:sz w:val="36"/>
          <w:szCs w:val="36"/>
        </w:rPr>
        <w:t>综合防灾</w:t>
      </w:r>
      <w:bookmarkEnd w:id="232"/>
      <w:r>
        <w:rPr>
          <w:rFonts w:hint="eastAsia" w:ascii="宋体" w:hAnsi="宋体" w:eastAsia="宋体" w:cs="宋体"/>
          <w:b w:val="0"/>
          <w:color w:val="000000" w:themeColor="text1"/>
          <w:sz w:val="36"/>
          <w:szCs w:val="36"/>
        </w:rPr>
        <w:t>减灾救灾</w:t>
      </w:r>
      <w:bookmarkEnd w:id="233"/>
      <w:bookmarkEnd w:id="234"/>
    </w:p>
    <w:p w14:paraId="77BB5084">
      <w:pPr>
        <w:pStyle w:val="3"/>
        <w:numPr>
          <w:ilvl w:val="0"/>
          <w:numId w:val="10"/>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235" w:name="_Toc185189099"/>
      <w:bookmarkStart w:id="236" w:name="_Toc139397191"/>
      <w:bookmarkStart w:id="237" w:name="_Toc161582269"/>
      <w:bookmarkStart w:id="238" w:name="_Toc176945832"/>
      <w:bookmarkStart w:id="239" w:name="_Toc156410600"/>
      <w:bookmarkStart w:id="240" w:name="_Toc10852"/>
      <w:r>
        <w:rPr>
          <w:rFonts w:hint="eastAsia" w:ascii="宋体" w:hAnsi="宋体" w:eastAsia="宋体" w:cs="宋体"/>
          <w:b w:val="0"/>
          <w:bCs w:val="0"/>
          <w:color w:val="000000" w:themeColor="text1"/>
        </w:rPr>
        <w:t>市政基础设施</w:t>
      </w:r>
      <w:bookmarkEnd w:id="235"/>
      <w:bookmarkEnd w:id="236"/>
      <w:bookmarkEnd w:id="237"/>
      <w:bookmarkEnd w:id="238"/>
      <w:bookmarkEnd w:id="239"/>
      <w:bookmarkEnd w:id="240"/>
    </w:p>
    <w:p w14:paraId="0520FA7A">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规划目标</w:t>
      </w:r>
    </w:p>
    <w:p w14:paraId="233C17A2">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构建系统完善、安全优质、绿色智慧的市政基础设施体系，推动市政基础设施立体化、复合化、集约化、绿色化发展。</w:t>
      </w:r>
    </w:p>
    <w:p w14:paraId="36B062AC">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能源结构</w:t>
      </w:r>
    </w:p>
    <w:p w14:paraId="37AFD2A8">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推动碳达峰碳中和，到</w:t>
      </w:r>
      <w:r>
        <w:rPr>
          <w:rFonts w:hint="eastAsia" w:ascii="宋体" w:hAnsi="宋体" w:eastAsia="宋体" w:cs="宋体"/>
          <w:color w:val="000000" w:themeColor="text1"/>
          <w:sz w:val="32"/>
          <w:szCs w:val="32"/>
        </w:rPr>
        <w:t>2030</w:t>
      </w:r>
      <w:r>
        <w:rPr>
          <w:rFonts w:hint="eastAsia" w:ascii="宋体" w:hAnsi="宋体" w:eastAsia="宋体" w:cs="宋体"/>
          <w:color w:val="000000" w:themeColor="text1"/>
          <w:sz w:val="32"/>
          <w:szCs w:val="32"/>
        </w:rPr>
        <w:t>年，二氧化碳排放量达到峰值并实现稳中有降，到</w:t>
      </w:r>
      <w:r>
        <w:rPr>
          <w:rFonts w:hint="eastAsia" w:ascii="宋体" w:hAnsi="宋体" w:eastAsia="宋体" w:cs="宋体"/>
          <w:color w:val="000000" w:themeColor="text1"/>
          <w:sz w:val="32"/>
          <w:szCs w:val="32"/>
        </w:rPr>
        <w:t>2060</w:t>
      </w:r>
      <w:r>
        <w:rPr>
          <w:rFonts w:hint="eastAsia" w:ascii="宋体" w:hAnsi="宋体" w:eastAsia="宋体" w:cs="宋体"/>
          <w:color w:val="000000" w:themeColor="text1"/>
          <w:sz w:val="32"/>
          <w:szCs w:val="32"/>
        </w:rPr>
        <w:t>年，能源利用效率达到国际先进水平，碳中和目标如期实现。发展清洁能源，在确保能源安全的前提下，推动以原煤为主的能源消费结构逐步向以天然气、电力等为主的能源消费结构转变。</w:t>
      </w:r>
      <w:r>
        <w:rPr>
          <w:rFonts w:hint="eastAsia" w:ascii="宋体" w:hAnsi="宋体" w:eastAsia="宋体" w:cs="宋体"/>
          <w:color w:val="000000" w:themeColor="text1"/>
          <w:sz w:val="32"/>
          <w:szCs w:val="32"/>
        </w:rPr>
        <w:t>加快开发新能源，积极开发利用天然气、太阳能、风力发电等清洁能源。</w:t>
      </w:r>
    </w:p>
    <w:p w14:paraId="62E11881">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电力</w:t>
      </w:r>
    </w:p>
    <w:p w14:paraId="501AE5FA">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落实国家能源战略，完善区域电网结构，</w:t>
      </w:r>
      <w:r>
        <w:rPr>
          <w:rFonts w:hint="eastAsia" w:ascii="宋体" w:hAnsi="宋体" w:eastAsia="宋体" w:cs="宋体"/>
          <w:color w:val="000000" w:themeColor="text1"/>
          <w:sz w:val="32"/>
          <w:szCs w:val="32"/>
          <w:u w:val="none"/>
        </w:rPr>
        <w:t>形成以市外来电为主、市内发电为辅的电源供应格局。</w:t>
      </w:r>
      <w:r>
        <w:rPr>
          <w:rFonts w:hint="eastAsia" w:ascii="宋体" w:hAnsi="宋体" w:eastAsia="宋体" w:cs="宋体"/>
          <w:color w:val="000000" w:themeColor="text1"/>
          <w:sz w:val="32"/>
          <w:szCs w:val="32"/>
        </w:rPr>
        <w:t>统筹电力设施布局，结合充换电站、储能电站和城市能源互联网建设，提高城市电网智能化、智慧化、数字化水平。</w:t>
      </w:r>
    </w:p>
    <w:p w14:paraId="01826AE0">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燃气</w:t>
      </w:r>
    </w:p>
    <w:p w14:paraId="5F27DECA">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加强天然气管网互联互通互保，形成多源多向的天然气气源供应系统，提高天然气供应保障能力。严格落实西气东输等长输天然气管道保护要求，结合城市发展和管道安全需要，预留长输管线迁改廊道</w:t>
      </w:r>
      <w:r>
        <w:rPr>
          <w:rFonts w:hint="eastAsia" w:ascii="宋体" w:hAnsi="宋体" w:eastAsia="宋体" w:cs="宋体"/>
          <w:color w:val="000000" w:themeColor="text1"/>
          <w:sz w:val="32"/>
          <w:szCs w:val="32"/>
          <w:lang w:eastAsia="zh-CN"/>
        </w:rPr>
        <w:t>，</w:t>
      </w:r>
      <w:r>
        <w:rPr>
          <w:rFonts w:hint="eastAsia" w:ascii="宋体" w:hAnsi="宋体" w:eastAsia="宋体" w:cs="宋体"/>
          <w:color w:val="000000" w:themeColor="text1"/>
          <w:sz w:val="32"/>
          <w:szCs w:val="32"/>
        </w:rPr>
        <w:t>强化供用气安全保障。</w:t>
      </w:r>
    </w:p>
    <w:p w14:paraId="7CFD12DC">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给排水</w:t>
      </w:r>
    </w:p>
    <w:p w14:paraId="287C8C67">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1</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供水</w:t>
      </w:r>
    </w:p>
    <w:p w14:paraId="45B16881">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u w:val="none"/>
        </w:rPr>
        <w:t>以长江和太湖作为主要供水水源，联合水库和山涧优质水源调度供水，形成安全可靠的水源保障格局。到</w:t>
      </w:r>
      <w:r>
        <w:rPr>
          <w:rFonts w:hint="eastAsia" w:ascii="宋体" w:hAnsi="宋体" w:eastAsia="宋体" w:cs="宋体"/>
          <w:color w:val="000000" w:themeColor="text1"/>
          <w:sz w:val="32"/>
          <w:szCs w:val="32"/>
          <w:u w:val="none"/>
        </w:rPr>
        <w:t>2035</w:t>
      </w:r>
      <w:r>
        <w:rPr>
          <w:rFonts w:hint="eastAsia" w:ascii="宋体" w:hAnsi="宋体" w:eastAsia="宋体" w:cs="宋体"/>
          <w:color w:val="000000" w:themeColor="text1"/>
          <w:sz w:val="32"/>
          <w:szCs w:val="32"/>
          <w:u w:val="none"/>
        </w:rPr>
        <w:t>年，城乡供水普及率达</w:t>
      </w:r>
      <w:r>
        <w:rPr>
          <w:rFonts w:hint="eastAsia" w:ascii="宋体" w:hAnsi="宋体" w:eastAsia="宋体" w:cs="宋体"/>
          <w:color w:val="000000" w:themeColor="text1"/>
          <w:sz w:val="32"/>
          <w:szCs w:val="32"/>
          <w:u w:val="none"/>
        </w:rPr>
        <w:t>100%</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rPr>
        <w:t>加强饮用水水源地保护，保障水厂的用地需求。强化供水管网互联互通，加强供水管网漏损控制，推进节水型载体建设，进一步提升城市供水的可靠性与安全性。</w:t>
      </w:r>
    </w:p>
    <w:p w14:paraId="42FCABA2">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2</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污水</w:t>
      </w:r>
    </w:p>
    <w:p w14:paraId="4120DBF4">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建立完善的污水处理设施系统，尾水排放严格执行国家及地方标准。优化污水处理分区，控制和预留污水厂扩建和新建用地，建立完善的污水管网收集系统，强化污泥处置，做好卫生防护。保障污水处理厂的用地需求，农村规划小型生态化污水处理设施。完善雨污分流系统，实现污水管网全覆盖。</w:t>
      </w:r>
      <w:r>
        <w:rPr>
          <w:rFonts w:hint="eastAsia" w:ascii="宋体" w:hAnsi="宋体" w:eastAsia="宋体" w:cs="宋体"/>
          <w:color w:val="000000" w:themeColor="text1"/>
          <w:sz w:val="32"/>
          <w:szCs w:val="32"/>
        </w:rPr>
        <w:t>加强</w:t>
      </w:r>
      <w:r>
        <w:rPr>
          <w:rFonts w:hint="eastAsia" w:ascii="宋体" w:hAnsi="宋体" w:eastAsia="宋体" w:cs="宋体"/>
          <w:color w:val="000000" w:themeColor="text1"/>
          <w:sz w:val="32"/>
          <w:szCs w:val="32"/>
        </w:rPr>
        <w:t>雨污分流建设，新建城镇地区要严格落实雨污分流的相关要求。</w:t>
      </w:r>
    </w:p>
    <w:p w14:paraId="77E09C3C">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3</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雨水</w:t>
      </w:r>
    </w:p>
    <w:p w14:paraId="6F55FB5D">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提升雨水排水防涝标准，分类确定差异化的雨水管渠设计重现期。中心城区雨水管渠设计重现期采用</w:t>
      </w:r>
      <w:r>
        <w:rPr>
          <w:rFonts w:hint="eastAsia" w:ascii="宋体" w:hAnsi="宋体" w:eastAsia="宋体" w:cs="宋体"/>
          <w:color w:val="000000" w:themeColor="text1"/>
          <w:sz w:val="32"/>
          <w:szCs w:val="32"/>
        </w:rPr>
        <w:t>3</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5</w:t>
      </w:r>
      <w:r>
        <w:rPr>
          <w:rFonts w:hint="eastAsia" w:ascii="宋体" w:hAnsi="宋体" w:eastAsia="宋体" w:cs="宋体"/>
          <w:color w:val="000000" w:themeColor="text1"/>
          <w:sz w:val="32"/>
          <w:szCs w:val="32"/>
        </w:rPr>
        <w:t>年一遇，非中心城区采用</w:t>
      </w:r>
      <w:r>
        <w:rPr>
          <w:rFonts w:hint="eastAsia" w:ascii="宋体" w:hAnsi="宋体" w:eastAsia="宋体" w:cs="宋体"/>
          <w:color w:val="000000" w:themeColor="text1"/>
          <w:sz w:val="32"/>
          <w:szCs w:val="32"/>
        </w:rPr>
        <w:t>2</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3</w:t>
      </w:r>
      <w:r>
        <w:rPr>
          <w:rFonts w:hint="eastAsia" w:ascii="宋体" w:hAnsi="宋体" w:eastAsia="宋体" w:cs="宋体"/>
          <w:color w:val="000000" w:themeColor="text1"/>
          <w:sz w:val="32"/>
          <w:szCs w:val="32"/>
        </w:rPr>
        <w:t>年一遇。中心城区的重要地区采用</w:t>
      </w:r>
      <w:r>
        <w:rPr>
          <w:rFonts w:hint="eastAsia" w:ascii="宋体" w:hAnsi="宋体" w:eastAsia="宋体" w:cs="宋体"/>
          <w:color w:val="000000" w:themeColor="text1"/>
          <w:sz w:val="32"/>
          <w:szCs w:val="32"/>
        </w:rPr>
        <w:t>5</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10</w:t>
      </w:r>
      <w:r>
        <w:rPr>
          <w:rFonts w:hint="eastAsia" w:ascii="宋体" w:hAnsi="宋体" w:eastAsia="宋体" w:cs="宋体"/>
          <w:color w:val="000000" w:themeColor="text1"/>
          <w:sz w:val="32"/>
          <w:szCs w:val="32"/>
        </w:rPr>
        <w:t>年一遇。中心城区的下穿立交道路、地下通道和下沉式广场等达到</w:t>
      </w:r>
      <w:r>
        <w:rPr>
          <w:rFonts w:hint="eastAsia" w:ascii="宋体" w:hAnsi="宋体" w:eastAsia="宋体" w:cs="宋体"/>
          <w:color w:val="000000" w:themeColor="text1"/>
          <w:sz w:val="32"/>
          <w:szCs w:val="32"/>
        </w:rPr>
        <w:t>30</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50</w:t>
      </w:r>
      <w:r>
        <w:rPr>
          <w:rFonts w:hint="eastAsia" w:ascii="宋体" w:hAnsi="宋体" w:eastAsia="宋体" w:cs="宋体"/>
          <w:color w:val="000000" w:themeColor="text1"/>
          <w:sz w:val="32"/>
          <w:szCs w:val="32"/>
        </w:rPr>
        <w:t>年一遇，非中心城区的下穿立交道路不小于</w:t>
      </w:r>
      <w:r>
        <w:rPr>
          <w:rFonts w:hint="eastAsia" w:ascii="宋体" w:hAnsi="宋体" w:eastAsia="宋体" w:cs="宋体"/>
          <w:color w:val="000000" w:themeColor="text1"/>
          <w:sz w:val="32"/>
          <w:szCs w:val="32"/>
        </w:rPr>
        <w:t>10</w:t>
      </w:r>
      <w:r>
        <w:rPr>
          <w:rFonts w:hint="eastAsia" w:ascii="宋体" w:hAnsi="宋体" w:eastAsia="宋体" w:cs="宋体"/>
          <w:color w:val="000000" w:themeColor="text1"/>
          <w:sz w:val="32"/>
          <w:szCs w:val="32"/>
        </w:rPr>
        <w:t>年一遇。城市内涝防治设计重现期不小于</w:t>
      </w:r>
      <w:r>
        <w:rPr>
          <w:rFonts w:hint="eastAsia" w:ascii="宋体" w:hAnsi="宋体" w:eastAsia="宋体" w:cs="宋体"/>
          <w:color w:val="000000" w:themeColor="text1"/>
          <w:sz w:val="32"/>
          <w:szCs w:val="32"/>
        </w:rPr>
        <w:t>50</w:t>
      </w:r>
      <w:r>
        <w:rPr>
          <w:rFonts w:hint="eastAsia" w:ascii="宋体" w:hAnsi="宋体" w:eastAsia="宋体" w:cs="宋体"/>
          <w:color w:val="000000" w:themeColor="text1"/>
          <w:sz w:val="32"/>
          <w:szCs w:val="32"/>
        </w:rPr>
        <w:t>年。</w:t>
      </w:r>
    </w:p>
    <w:p w14:paraId="6AC061D3">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供热</w:t>
      </w:r>
    </w:p>
    <w:p w14:paraId="2A012CF9">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提升能源综合利用效率和保障能力。市辖区规划形成</w:t>
      </w:r>
      <w:r>
        <w:rPr>
          <w:rFonts w:hint="eastAsia" w:ascii="宋体" w:hAnsi="宋体" w:eastAsia="宋体" w:cs="宋体"/>
          <w:color w:val="000000" w:themeColor="text1"/>
          <w:sz w:val="32"/>
          <w:szCs w:val="32"/>
        </w:rPr>
        <w:t>5</w:t>
      </w:r>
      <w:r>
        <w:rPr>
          <w:rFonts w:hint="eastAsia" w:ascii="宋体" w:hAnsi="宋体" w:eastAsia="宋体" w:cs="宋体"/>
          <w:color w:val="000000" w:themeColor="text1"/>
          <w:sz w:val="32"/>
          <w:szCs w:val="32"/>
        </w:rPr>
        <w:t>个集中供热片区，完善供热主干管，根据需要建设联络干管。非集中供热区域发展分布式能源。江阴市规划形成</w:t>
      </w:r>
      <w:r>
        <w:rPr>
          <w:rFonts w:hint="eastAsia" w:ascii="宋体" w:hAnsi="宋体" w:eastAsia="宋体" w:cs="宋体"/>
          <w:color w:val="000000" w:themeColor="text1"/>
          <w:sz w:val="32"/>
          <w:szCs w:val="32"/>
        </w:rPr>
        <w:t>4</w:t>
      </w:r>
      <w:r>
        <w:rPr>
          <w:rFonts w:hint="eastAsia" w:ascii="宋体" w:hAnsi="宋体" w:eastAsia="宋体" w:cs="宋体"/>
          <w:color w:val="000000" w:themeColor="text1"/>
          <w:sz w:val="32"/>
          <w:szCs w:val="32"/>
        </w:rPr>
        <w:t>个集中供热片区，宜兴市规划形成</w:t>
      </w:r>
      <w:r>
        <w:rPr>
          <w:rFonts w:hint="eastAsia" w:ascii="宋体" w:hAnsi="宋体" w:eastAsia="宋体" w:cs="宋体"/>
          <w:color w:val="000000" w:themeColor="text1"/>
          <w:sz w:val="32"/>
          <w:szCs w:val="32"/>
        </w:rPr>
        <w:t>2</w:t>
      </w:r>
      <w:r>
        <w:rPr>
          <w:rFonts w:hint="eastAsia" w:ascii="宋体" w:hAnsi="宋体" w:eastAsia="宋体" w:cs="宋体"/>
          <w:color w:val="000000" w:themeColor="text1"/>
          <w:sz w:val="32"/>
          <w:szCs w:val="32"/>
        </w:rPr>
        <w:t>个集中供热片区，加大统筹协调，布局连片供热管网。</w:t>
      </w:r>
    </w:p>
    <w:p w14:paraId="4AC0FCDF">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市政基础设施廊道</w:t>
      </w:r>
    </w:p>
    <w:p w14:paraId="00E5AA16">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依托大型绿化带、开敞空间、交通干线等预留重要管线廊道，统筹安排</w:t>
      </w:r>
      <w:r>
        <w:rPr>
          <w:rFonts w:hint="eastAsia" w:ascii="宋体" w:hAnsi="宋体" w:eastAsia="宋体" w:cs="宋体"/>
          <w:color w:val="000000" w:themeColor="text1"/>
          <w:sz w:val="32"/>
          <w:szCs w:val="32"/>
        </w:rPr>
        <w:t>500</w:t>
      </w:r>
      <w:r>
        <w:rPr>
          <w:rFonts w:hint="eastAsia" w:ascii="宋体" w:hAnsi="宋体" w:eastAsia="宋体" w:cs="宋体"/>
          <w:color w:val="000000" w:themeColor="text1"/>
          <w:sz w:val="32"/>
          <w:szCs w:val="32"/>
        </w:rPr>
        <w:t>千伏及以上电力线、油气长输管、超高压燃气管等重要市政设施廊道。现状建成区域的油气管线应根据国家相应的技术规范要求，尽快开展安全评价，并根据评价结果做好管控措施，以降低事故安全风险。落实市政设施廊道的刚性管控要求，严格按照规划廊道控制宽度进行用地控制和预留，为市政基础设施廊道建设提供空间保障。</w:t>
      </w:r>
    </w:p>
    <w:p w14:paraId="4D86BCC8">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智慧城市</w:t>
      </w:r>
    </w:p>
    <w:p w14:paraId="4BC76FE4">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以人工智能和智慧物联为基础，以数据为驱动，推动智能电网、物联网和交通网技术融合。建设数字经济城市，推进产业、企业、治理、政务、生活数字化转型和数字生态体系化建设，打造车联网（智能网联汽车）先导区。</w:t>
      </w:r>
    </w:p>
    <w:p w14:paraId="499AB8D2">
      <w:pPr>
        <w:pStyle w:val="3"/>
        <w:numPr>
          <w:ilvl w:val="0"/>
          <w:numId w:val="10"/>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241" w:name="_Toc176945834"/>
      <w:bookmarkStart w:id="242" w:name="_Toc24831"/>
      <w:bookmarkStart w:id="243" w:name="_Toc185189100"/>
      <w:r>
        <w:rPr>
          <w:rFonts w:hint="eastAsia" w:ascii="宋体" w:hAnsi="宋体" w:eastAsia="宋体" w:cs="宋体"/>
          <w:b w:val="0"/>
          <w:bCs w:val="0"/>
          <w:color w:val="000000" w:themeColor="text1"/>
        </w:rPr>
        <w:t>综合防灾</w:t>
      </w:r>
      <w:bookmarkEnd w:id="241"/>
      <w:r>
        <w:rPr>
          <w:rFonts w:hint="eastAsia" w:ascii="宋体" w:hAnsi="宋体" w:eastAsia="宋体" w:cs="宋体"/>
          <w:b w:val="0"/>
          <w:bCs w:val="0"/>
          <w:color w:val="000000" w:themeColor="text1"/>
        </w:rPr>
        <w:t>减灾救灾</w:t>
      </w:r>
      <w:bookmarkEnd w:id="242"/>
      <w:bookmarkEnd w:id="243"/>
    </w:p>
    <w:p w14:paraId="5227A0DF">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规划目标</w:t>
      </w:r>
    </w:p>
    <w:p w14:paraId="5D4E33C8">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坚持预防为主、防抗避救相结合，</w:t>
      </w:r>
      <w:r>
        <w:rPr>
          <w:rFonts w:hint="eastAsia" w:ascii="宋体" w:hAnsi="宋体" w:eastAsia="宋体" w:cs="宋体"/>
          <w:color w:val="000000" w:themeColor="text1"/>
          <w:sz w:val="32"/>
          <w:szCs w:val="32"/>
          <w:u w:val="none"/>
        </w:rPr>
        <w:t>构建韧性适应的城市综合防灾减灾救灾和公共安全应急体系。</w:t>
      </w:r>
      <w:r>
        <w:rPr>
          <w:rFonts w:hint="eastAsia" w:ascii="宋体" w:hAnsi="宋体" w:eastAsia="宋体" w:cs="宋体"/>
          <w:color w:val="000000" w:themeColor="text1"/>
          <w:sz w:val="32"/>
          <w:szCs w:val="32"/>
        </w:rPr>
        <w:t>到</w:t>
      </w:r>
      <w:r>
        <w:rPr>
          <w:rFonts w:hint="eastAsia" w:ascii="宋体" w:hAnsi="宋体" w:eastAsia="宋体" w:cs="宋体"/>
          <w:color w:val="000000" w:themeColor="text1"/>
          <w:sz w:val="32"/>
          <w:szCs w:val="32"/>
        </w:rPr>
        <w:t>2035</w:t>
      </w:r>
      <w:r>
        <w:rPr>
          <w:rFonts w:hint="eastAsia" w:ascii="宋体" w:hAnsi="宋体" w:eastAsia="宋体" w:cs="宋体"/>
          <w:color w:val="000000" w:themeColor="text1"/>
          <w:sz w:val="32"/>
          <w:szCs w:val="32"/>
        </w:rPr>
        <w:t>年，建成公共安全综合防控能力先进的安全韧性城市，实现自然灾害防治体系和防治能力现代化，重特大灾害防范应对更加有力有序有效。</w:t>
      </w:r>
    </w:p>
    <w:p w14:paraId="00140A8D">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防灾减灾救灾设施</w:t>
      </w:r>
    </w:p>
    <w:p w14:paraId="6B88CA5B">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1</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防洪排涝</w:t>
      </w:r>
    </w:p>
    <w:p w14:paraId="6B7991D0">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依托太湖流域防洪体系，以防洪屏障和城市防洪工程为基础，改善京杭运河、新沟河、望虞河、新孟河等骨干河道，联通和扩大洪涝水北排长江通道，整治入湖河道，提高行洪排涝能力和洪水调蓄能力。</w:t>
      </w:r>
    </w:p>
    <w:p w14:paraId="4200FE12">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流域与排水分区。</w:t>
      </w:r>
      <w:r>
        <w:rPr>
          <w:rFonts w:hint="eastAsia" w:ascii="宋体" w:hAnsi="宋体" w:eastAsia="宋体" w:cs="宋体"/>
          <w:color w:val="000000" w:themeColor="text1"/>
          <w:sz w:val="32"/>
          <w:szCs w:val="32"/>
        </w:rPr>
        <w:t>构建防御外部洪水侵袭的外围防洪体系，形成武澄锡低片、澄锡虞高片和湖西片</w:t>
      </w:r>
      <w:r>
        <w:rPr>
          <w:rFonts w:hint="eastAsia" w:ascii="宋体" w:hAnsi="宋体" w:eastAsia="宋体" w:cs="宋体"/>
          <w:color w:val="000000" w:themeColor="text1"/>
          <w:sz w:val="32"/>
          <w:szCs w:val="32"/>
        </w:rPr>
        <w:t>3</w:t>
      </w:r>
      <w:r>
        <w:rPr>
          <w:rFonts w:hint="eastAsia" w:ascii="宋体" w:hAnsi="宋体" w:eastAsia="宋体" w:cs="宋体"/>
          <w:color w:val="000000" w:themeColor="text1"/>
          <w:sz w:val="32"/>
          <w:szCs w:val="32"/>
        </w:rPr>
        <w:t>个排水分区。</w:t>
      </w:r>
      <w:r>
        <w:rPr>
          <w:rFonts w:hint="eastAsia" w:ascii="宋体" w:hAnsi="宋体" w:eastAsia="宋体" w:cs="宋体"/>
          <w:color w:val="000000" w:themeColor="text1"/>
          <w:sz w:val="32"/>
          <w:szCs w:val="32"/>
          <w:u w:val="none"/>
        </w:rPr>
        <w:t>以京杭运河、望虞河、新沟河、锡澄运河等行洪排涝通道以及太湖、</w:t>
      </w:r>
      <w:r>
        <w:rPr>
          <w:rFonts w:hint="eastAsia" w:ascii="宋体" w:hAnsi="宋体" w:eastAsia="宋体" w:cs="宋体"/>
          <w:color w:val="000000" w:themeColor="text1"/>
          <w:sz w:val="32"/>
          <w:szCs w:val="32"/>
          <w:u w:val="none"/>
        </w:rPr>
        <w:t>滆</w:t>
      </w:r>
      <w:r>
        <w:rPr>
          <w:rFonts w:hint="eastAsia" w:ascii="宋体" w:hAnsi="宋体" w:eastAsia="宋体" w:cs="宋体"/>
          <w:color w:val="000000" w:themeColor="text1"/>
          <w:sz w:val="32"/>
          <w:szCs w:val="32"/>
          <w:u w:val="none"/>
        </w:rPr>
        <w:t>湖、蠡湖等河湖湿地为主体，划定洪涝风险控制线。</w:t>
      </w:r>
      <w:r>
        <w:rPr>
          <w:rFonts w:hint="eastAsia" w:ascii="宋体" w:hAnsi="宋体" w:eastAsia="宋体" w:cs="宋体"/>
          <w:color w:val="000000" w:themeColor="text1"/>
          <w:sz w:val="32"/>
          <w:szCs w:val="32"/>
        </w:rPr>
        <w:t>洪涝风险控制线在下层次规划中细化落实。</w:t>
      </w:r>
    </w:p>
    <w:p w14:paraId="215570C9">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城市防洪。</w:t>
      </w:r>
      <w:r>
        <w:rPr>
          <w:rFonts w:hint="eastAsia" w:ascii="宋体" w:hAnsi="宋体" w:eastAsia="宋体" w:cs="宋体"/>
          <w:color w:val="000000" w:themeColor="text1"/>
          <w:sz w:val="32"/>
          <w:szCs w:val="32"/>
        </w:rPr>
        <w:t>构建挡排结合、快速外排、科学调蓄的城市防洪排涝新布局，提高防洪标准，完善防洪排涝设施，保障防洪排涝系统的完整性和通达性。</w:t>
      </w:r>
    </w:p>
    <w:p w14:paraId="2CEE0765">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u w:val="single"/>
        </w:rPr>
      </w:pPr>
      <w:r>
        <w:rPr>
          <w:rFonts w:hint="eastAsia" w:ascii="宋体" w:hAnsi="宋体" w:eastAsia="宋体" w:cs="宋体"/>
          <w:b/>
          <w:color w:val="000000" w:themeColor="text1"/>
          <w:sz w:val="32"/>
          <w:szCs w:val="32"/>
        </w:rPr>
        <w:t>防洪标准。</w:t>
      </w:r>
      <w:r>
        <w:rPr>
          <w:rFonts w:hint="eastAsia" w:ascii="宋体" w:hAnsi="宋体" w:eastAsia="宋体" w:cs="宋体"/>
          <w:color w:val="000000" w:themeColor="text1"/>
          <w:sz w:val="32"/>
          <w:szCs w:val="32"/>
          <w:u w:val="none"/>
        </w:rPr>
        <w:t>市辖区运东片区、太湖新城、山北北圩、山北南圩和盛岸联圩防洪标准</w:t>
      </w:r>
      <w:r>
        <w:rPr>
          <w:rFonts w:hint="eastAsia" w:ascii="宋体" w:hAnsi="宋体" w:eastAsia="宋体" w:cs="宋体"/>
          <w:color w:val="000000" w:themeColor="text1"/>
          <w:sz w:val="32"/>
          <w:szCs w:val="32"/>
          <w:u w:val="none"/>
        </w:rPr>
        <w:t>200</w:t>
      </w:r>
      <w:r>
        <w:rPr>
          <w:rFonts w:hint="eastAsia" w:ascii="宋体" w:hAnsi="宋体" w:eastAsia="宋体" w:cs="宋体"/>
          <w:color w:val="000000" w:themeColor="text1"/>
          <w:sz w:val="32"/>
          <w:szCs w:val="32"/>
          <w:u w:val="none"/>
        </w:rPr>
        <w:t>年一遇，新吴区环鸿东路以西区域、锡东新城、惠山新城、梁溪片、马圩、洛西联圩防洪标准</w:t>
      </w:r>
      <w:r>
        <w:rPr>
          <w:rFonts w:hint="eastAsia" w:ascii="宋体" w:hAnsi="宋体" w:eastAsia="宋体" w:cs="宋体"/>
          <w:color w:val="000000" w:themeColor="text1"/>
          <w:sz w:val="32"/>
          <w:szCs w:val="32"/>
          <w:u w:val="none"/>
        </w:rPr>
        <w:t>100</w:t>
      </w:r>
      <w:r>
        <w:rPr>
          <w:rFonts w:hint="eastAsia" w:ascii="宋体" w:hAnsi="宋体" w:eastAsia="宋体" w:cs="宋体"/>
          <w:color w:val="000000" w:themeColor="text1"/>
          <w:sz w:val="32"/>
          <w:szCs w:val="32"/>
          <w:u w:val="none"/>
        </w:rPr>
        <w:t>年一遇，其他地区防洪标准</w:t>
      </w:r>
      <w:r>
        <w:rPr>
          <w:rFonts w:hint="eastAsia" w:ascii="宋体" w:hAnsi="宋体" w:eastAsia="宋体" w:cs="宋体"/>
          <w:color w:val="000000" w:themeColor="text1"/>
          <w:sz w:val="32"/>
          <w:szCs w:val="32"/>
          <w:u w:val="none"/>
        </w:rPr>
        <w:t>50</w:t>
      </w:r>
      <w:r>
        <w:rPr>
          <w:rFonts w:hint="eastAsia" w:ascii="宋体" w:hAnsi="宋体" w:eastAsia="宋体" w:cs="宋体"/>
          <w:color w:val="000000" w:themeColor="text1"/>
          <w:sz w:val="32"/>
          <w:szCs w:val="32"/>
          <w:u w:val="none"/>
        </w:rPr>
        <w:t>年一遇。江阴市中心城区防洪标准</w:t>
      </w:r>
      <w:r>
        <w:rPr>
          <w:rFonts w:hint="eastAsia" w:ascii="宋体" w:hAnsi="宋体" w:eastAsia="宋体" w:cs="宋体"/>
          <w:color w:val="000000" w:themeColor="text1"/>
          <w:sz w:val="32"/>
          <w:szCs w:val="32"/>
          <w:u w:val="none"/>
        </w:rPr>
        <w:t>100</w:t>
      </w:r>
      <w:r>
        <w:rPr>
          <w:rFonts w:hint="eastAsia" w:ascii="宋体" w:hAnsi="宋体" w:eastAsia="宋体" w:cs="宋体"/>
          <w:color w:val="000000" w:themeColor="text1"/>
          <w:sz w:val="32"/>
          <w:szCs w:val="32"/>
          <w:u w:val="none"/>
        </w:rPr>
        <w:t>年一遇，其他地区防洪标准</w:t>
      </w:r>
      <w:r>
        <w:rPr>
          <w:rFonts w:hint="eastAsia" w:ascii="宋体" w:hAnsi="宋体" w:eastAsia="宋体" w:cs="宋体"/>
          <w:color w:val="000000" w:themeColor="text1"/>
          <w:sz w:val="32"/>
          <w:szCs w:val="32"/>
          <w:u w:val="none"/>
        </w:rPr>
        <w:t>50</w:t>
      </w:r>
      <w:r>
        <w:rPr>
          <w:rFonts w:hint="eastAsia" w:ascii="宋体" w:hAnsi="宋体" w:eastAsia="宋体" w:cs="宋体"/>
          <w:color w:val="000000" w:themeColor="text1"/>
          <w:sz w:val="32"/>
          <w:szCs w:val="32"/>
          <w:u w:val="none"/>
        </w:rPr>
        <w:t>年一遇。宜兴市中心城区防洪标准</w:t>
      </w:r>
      <w:r>
        <w:rPr>
          <w:rFonts w:hint="eastAsia" w:ascii="宋体" w:hAnsi="宋体" w:eastAsia="宋体" w:cs="宋体"/>
          <w:color w:val="000000" w:themeColor="text1"/>
          <w:sz w:val="32"/>
          <w:szCs w:val="32"/>
          <w:u w:val="none"/>
        </w:rPr>
        <w:t>50</w:t>
      </w:r>
      <w:r>
        <w:rPr>
          <w:rFonts w:hint="eastAsia" w:ascii="宋体" w:hAnsi="宋体" w:eastAsia="宋体" w:cs="宋体"/>
          <w:color w:val="000000" w:themeColor="text1"/>
          <w:sz w:val="32"/>
          <w:szCs w:val="32"/>
          <w:u w:val="none"/>
        </w:rPr>
        <w:t>-</w:t>
      </w:r>
      <w:r>
        <w:rPr>
          <w:rFonts w:hint="eastAsia" w:ascii="宋体" w:hAnsi="宋体" w:eastAsia="宋体" w:cs="宋体"/>
          <w:color w:val="000000" w:themeColor="text1"/>
          <w:sz w:val="32"/>
          <w:szCs w:val="32"/>
          <w:u w:val="none"/>
        </w:rPr>
        <w:t>100</w:t>
      </w:r>
      <w:r>
        <w:rPr>
          <w:rFonts w:hint="eastAsia" w:ascii="宋体" w:hAnsi="宋体" w:eastAsia="宋体" w:cs="宋体"/>
          <w:color w:val="000000" w:themeColor="text1"/>
          <w:sz w:val="32"/>
          <w:szCs w:val="32"/>
          <w:u w:val="none"/>
        </w:rPr>
        <w:t>年一遇，其他地区防洪标准</w:t>
      </w:r>
      <w:r>
        <w:rPr>
          <w:rFonts w:hint="eastAsia" w:ascii="宋体" w:hAnsi="宋体" w:eastAsia="宋体" w:cs="宋体"/>
          <w:color w:val="000000" w:themeColor="text1"/>
          <w:sz w:val="32"/>
          <w:szCs w:val="32"/>
          <w:u w:val="none"/>
        </w:rPr>
        <w:t>50</w:t>
      </w:r>
      <w:r>
        <w:rPr>
          <w:rFonts w:hint="eastAsia" w:ascii="宋体" w:hAnsi="宋体" w:eastAsia="宋体" w:cs="宋体"/>
          <w:color w:val="000000" w:themeColor="text1"/>
          <w:sz w:val="32"/>
          <w:szCs w:val="32"/>
          <w:u w:val="none"/>
        </w:rPr>
        <w:t>年一遇。</w:t>
      </w:r>
    </w:p>
    <w:p w14:paraId="2724FD42">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排涝标准。</w:t>
      </w:r>
      <w:r>
        <w:rPr>
          <w:rFonts w:hint="eastAsia" w:ascii="宋体" w:hAnsi="宋体" w:eastAsia="宋体" w:cs="宋体"/>
          <w:color w:val="000000" w:themeColor="text1"/>
          <w:sz w:val="32"/>
          <w:szCs w:val="32"/>
        </w:rPr>
        <w:t>城市和重要镇（街道）防洪包围圈排涝标准为</w:t>
      </w:r>
      <w:r>
        <w:rPr>
          <w:rFonts w:hint="eastAsia" w:ascii="宋体" w:hAnsi="宋体" w:eastAsia="宋体" w:cs="宋体"/>
          <w:color w:val="000000" w:themeColor="text1"/>
          <w:sz w:val="32"/>
          <w:szCs w:val="32"/>
        </w:rPr>
        <w:t>20</w:t>
      </w:r>
      <w:r>
        <w:rPr>
          <w:rFonts w:hint="eastAsia" w:ascii="宋体" w:hAnsi="宋体" w:eastAsia="宋体" w:cs="宋体"/>
          <w:color w:val="000000" w:themeColor="text1"/>
          <w:sz w:val="32"/>
          <w:szCs w:val="32"/>
        </w:rPr>
        <w:t>年一遇最大</w:t>
      </w:r>
      <w:r>
        <w:rPr>
          <w:rFonts w:hint="eastAsia" w:ascii="宋体" w:hAnsi="宋体" w:eastAsia="宋体" w:cs="宋体"/>
          <w:color w:val="000000" w:themeColor="text1"/>
          <w:sz w:val="32"/>
          <w:szCs w:val="32"/>
        </w:rPr>
        <w:t>24</w:t>
      </w:r>
      <w:r>
        <w:rPr>
          <w:rFonts w:hint="eastAsia" w:ascii="宋体" w:hAnsi="宋体" w:eastAsia="宋体" w:cs="宋体"/>
          <w:color w:val="000000" w:themeColor="text1"/>
          <w:sz w:val="32"/>
          <w:szCs w:val="32"/>
        </w:rPr>
        <w:t>小时降雨不超过河道最高控制水位，以农业为主的圩区排涝标准为</w:t>
      </w:r>
      <w:r>
        <w:rPr>
          <w:rFonts w:hint="eastAsia" w:ascii="宋体" w:hAnsi="宋体" w:eastAsia="宋体" w:cs="宋体"/>
          <w:color w:val="000000" w:themeColor="text1"/>
          <w:sz w:val="32"/>
          <w:szCs w:val="32"/>
        </w:rPr>
        <w:t>20</w:t>
      </w:r>
      <w:r>
        <w:rPr>
          <w:rFonts w:hint="eastAsia" w:ascii="宋体" w:hAnsi="宋体" w:eastAsia="宋体" w:cs="宋体"/>
          <w:color w:val="000000" w:themeColor="text1"/>
          <w:sz w:val="32"/>
          <w:szCs w:val="32"/>
        </w:rPr>
        <w:t>年一遇最大</w:t>
      </w:r>
      <w:r>
        <w:rPr>
          <w:rFonts w:hint="eastAsia" w:ascii="宋体" w:hAnsi="宋体" w:eastAsia="宋体" w:cs="宋体"/>
          <w:color w:val="000000" w:themeColor="text1"/>
          <w:sz w:val="32"/>
          <w:szCs w:val="32"/>
        </w:rPr>
        <w:t>24</w:t>
      </w:r>
      <w:r>
        <w:rPr>
          <w:rFonts w:hint="eastAsia" w:ascii="宋体" w:hAnsi="宋体" w:eastAsia="宋体" w:cs="宋体"/>
          <w:color w:val="000000" w:themeColor="text1"/>
          <w:sz w:val="32"/>
          <w:szCs w:val="32"/>
        </w:rPr>
        <w:t>小时降雨后一天排出不受涝。</w:t>
      </w:r>
    </w:p>
    <w:p w14:paraId="57183ACF">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2</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消防救援</w:t>
      </w:r>
    </w:p>
    <w:p w14:paraId="1BC74DB8">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市辖区、江阴市、宜兴市保留现有各自独立的消防站布局体系。加强市域应急灭火救援联动，灵活调配消防救援力量，充分发挥特勤、航空消防站救援能力，及时消除火灾险情。</w:t>
      </w:r>
    </w:p>
    <w:p w14:paraId="2462971C">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建设普通、特勤、战勤保障三级陆上消防站，按照接警</w:t>
      </w:r>
      <w:r>
        <w:rPr>
          <w:rFonts w:hint="eastAsia" w:ascii="宋体" w:hAnsi="宋体" w:eastAsia="宋体" w:cs="宋体"/>
          <w:color w:val="000000" w:themeColor="text1"/>
          <w:sz w:val="32"/>
          <w:szCs w:val="32"/>
        </w:rPr>
        <w:t>5</w:t>
      </w:r>
      <w:r>
        <w:rPr>
          <w:rFonts w:hint="eastAsia" w:ascii="宋体" w:hAnsi="宋体" w:eastAsia="宋体" w:cs="宋体"/>
          <w:color w:val="000000" w:themeColor="text1"/>
          <w:sz w:val="32"/>
          <w:szCs w:val="32"/>
        </w:rPr>
        <w:t>分钟内到达辖区边缘的标准完善消防站布局，保障各县（市、区）不少于</w:t>
      </w:r>
      <w:r>
        <w:rPr>
          <w:rFonts w:hint="eastAsia" w:ascii="宋体" w:hAnsi="宋体" w:eastAsia="宋体" w:cs="宋体"/>
          <w:color w:val="000000" w:themeColor="text1"/>
          <w:sz w:val="32"/>
          <w:szCs w:val="32"/>
        </w:rPr>
        <w:t>1</w:t>
      </w:r>
      <w:r>
        <w:rPr>
          <w:rFonts w:hint="eastAsia" w:ascii="宋体" w:hAnsi="宋体" w:eastAsia="宋体" w:cs="宋体"/>
          <w:color w:val="000000" w:themeColor="text1"/>
          <w:sz w:val="32"/>
          <w:szCs w:val="32"/>
        </w:rPr>
        <w:t>座特勤消防站用地。全面构建全灾种、大应急的现代化消防救援体系，增加水上消防救援站、航空消防救援站。</w:t>
      </w:r>
    </w:p>
    <w:p w14:paraId="31663779">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3</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地质灾害防治</w:t>
      </w:r>
    </w:p>
    <w:p w14:paraId="71BB3DA3">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坚持预防为主、避让与治理相结合的原则，深入推进地质灾害调查评价、监测预警、综合治理、应急救援等方面能力建设。加强地质灾害风险防治，重点防控地裂缝、地面塌陷、崩塌、滑坡等地质灾害，加强综合治理和避险搬迁。在地质灾害高易发区限制新建项目，无法避让的，必须采取工程防治措施，全面提升综合防治能力。</w:t>
      </w:r>
    </w:p>
    <w:p w14:paraId="6FC3E7E4">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4</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抗震减灾</w:t>
      </w:r>
    </w:p>
    <w:p w14:paraId="1920249F">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u w:val="single"/>
        </w:rPr>
      </w:pPr>
      <w:r>
        <w:rPr>
          <w:rFonts w:hint="eastAsia" w:ascii="宋体" w:hAnsi="宋体" w:eastAsia="宋体" w:cs="宋体"/>
          <w:color w:val="000000" w:themeColor="text1"/>
          <w:sz w:val="32"/>
          <w:szCs w:val="32"/>
          <w:u w:val="none"/>
        </w:rPr>
        <w:t>市辖区（不含羊尖镇、锡北镇、东港镇）、江阴市璜土镇和宜兴市（不含张渚镇、太华镇、丁蜀镇、湖</w:t>
      </w:r>
      <w:r>
        <w:rPr>
          <w:rFonts w:hint="eastAsia" w:ascii="宋体" w:hAnsi="宋体" w:eastAsia="宋体" w:cs="宋体"/>
          <w:color w:val="000000" w:themeColor="text1"/>
          <w:sz w:val="32"/>
          <w:szCs w:val="32"/>
          <w:u w:val="none"/>
        </w:rPr>
        <w:t>㳇</w:t>
      </w:r>
      <w:r>
        <w:rPr>
          <w:rFonts w:hint="eastAsia" w:ascii="宋体" w:hAnsi="宋体" w:eastAsia="宋体" w:cs="宋体"/>
          <w:color w:val="000000" w:themeColor="text1"/>
          <w:sz w:val="32"/>
          <w:szCs w:val="32"/>
          <w:u w:val="none"/>
        </w:rPr>
        <w:t>镇）抗震设防烈度为</w:t>
      </w:r>
      <w:r>
        <w:rPr>
          <w:rFonts w:hint="eastAsia" w:ascii="宋体" w:hAnsi="宋体" w:eastAsia="宋体" w:cs="宋体"/>
          <w:color w:val="000000" w:themeColor="text1"/>
          <w:sz w:val="32"/>
          <w:szCs w:val="32"/>
          <w:u w:val="none"/>
        </w:rPr>
        <w:t>Ⅶ</w:t>
      </w:r>
      <w:r>
        <w:rPr>
          <w:rFonts w:hint="eastAsia" w:ascii="宋体" w:hAnsi="宋体" w:eastAsia="宋体" w:cs="宋体"/>
          <w:color w:val="000000" w:themeColor="text1"/>
          <w:sz w:val="32"/>
          <w:szCs w:val="32"/>
          <w:u w:val="none"/>
        </w:rPr>
        <w:t>度，其他地区抗震设防烈度为</w:t>
      </w:r>
      <w:r>
        <w:rPr>
          <w:rFonts w:hint="eastAsia" w:ascii="宋体" w:hAnsi="宋体" w:eastAsia="宋体" w:cs="宋体"/>
          <w:color w:val="000000" w:themeColor="text1"/>
          <w:sz w:val="32"/>
          <w:szCs w:val="32"/>
          <w:u w:val="none"/>
        </w:rPr>
        <w:t>Ⅵ</w:t>
      </w:r>
      <w:r>
        <w:rPr>
          <w:rFonts w:hint="eastAsia" w:ascii="宋体" w:hAnsi="宋体" w:eastAsia="宋体" w:cs="宋体"/>
          <w:color w:val="000000" w:themeColor="text1"/>
          <w:sz w:val="32"/>
          <w:szCs w:val="32"/>
          <w:u w:val="none"/>
        </w:rPr>
        <w:t>度。</w:t>
      </w:r>
    </w:p>
    <w:p w14:paraId="27963C35">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优化地震监测台网布局，提高地震监测能力，加强地震观测环境保护。强化城市活断层探测，开展大震危险源和承灾体风险源探查，进一步摸清大震巨灾风险底数。加强房屋建筑和基础设施的地震灾害风险监测和隐患排查，并定期开展地震灾害风险评估。</w:t>
      </w:r>
    </w:p>
    <w:p w14:paraId="77C63EB8">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市辖区位于地震断裂带影响范围内的建设活动，应查明断裂带的活动性质和活动特征。重点建设工程和可能发生严重次生灾害的建设工程应进行地震安全性评价，并根据评价结果确定抗震设防要求。一般建设工程应按照《中国地震动参数区划图》进行抗震设防。幼儿园、学校、医院等人员密集场所的建设工程应当在房屋建筑抗震设防要求的基础上提高一档进行抗震设防。</w:t>
      </w:r>
    </w:p>
    <w:p w14:paraId="2CB7F9E6">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5</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人民防空</w:t>
      </w:r>
    </w:p>
    <w:p w14:paraId="37D320D4">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按照长期准备、重点建设、平急结合的建设方针，在存量空间及地下空间开发利用中兼顾人民防空功能要求与资源利用，推动人防建设与城市建设融合发展。</w:t>
      </w:r>
    </w:p>
    <w:p w14:paraId="0D211632">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以推进镇（街道）基层组织指挥机构建设为重点，完善市、县（市、区）、镇（街道）三级指挥机构及指挥场所布局。重要目标责任单位和主管部门结合新建、改扩建项目，按需配置防空专业队工程和一等人员掩蔽工程，地铁及城市地下综合管廊按规范要求设防。</w:t>
      </w:r>
    </w:p>
    <w:p w14:paraId="3489F5D5">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6</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公共卫生安全</w:t>
      </w:r>
    </w:p>
    <w:p w14:paraId="5F7D3F66">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建设市、县（市、区）两级公共卫生中心，健全市、县（市、区）、镇（街道）、村（社区）四级疾病预防控制网络。加强医疗机构与疾病预防控制中心的工作衔接和信息共享，推进疾病预防控制中心与城乡社区工作联动，强化乡镇卫生院和社区卫生服务中心疾病预防控制职责。结合社区网格化管理模式，落实人员与配套设施，实现联防联控。市域规划公共卫生中心</w:t>
      </w:r>
      <w:r>
        <w:rPr>
          <w:rFonts w:hint="eastAsia" w:ascii="宋体" w:hAnsi="宋体" w:eastAsia="宋体" w:cs="宋体"/>
          <w:color w:val="000000" w:themeColor="text1"/>
          <w:sz w:val="32"/>
          <w:szCs w:val="32"/>
        </w:rPr>
        <w:t>3</w:t>
      </w:r>
      <w:r>
        <w:rPr>
          <w:rFonts w:hint="eastAsia" w:ascii="宋体" w:hAnsi="宋体" w:eastAsia="宋体" w:cs="宋体"/>
          <w:color w:val="000000" w:themeColor="text1"/>
          <w:sz w:val="32"/>
          <w:szCs w:val="32"/>
        </w:rPr>
        <w:t>处。</w:t>
      </w:r>
    </w:p>
    <w:p w14:paraId="66A02BF9">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完善突发公共卫生事件预警平台建设。新建的大型场馆、展览馆等公共建筑兼顾应急救治和隔离等要求，紧急情况下可快速平急转换，开放床位收治伤病员。预控医疗应急空间和设施场地，做好市政基础设施预留衔接。</w:t>
      </w:r>
    </w:p>
    <w:p w14:paraId="299CF467">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应急保障</w:t>
      </w:r>
    </w:p>
    <w:p w14:paraId="54E573E4">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1</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应急疏散设施</w:t>
      </w:r>
    </w:p>
    <w:p w14:paraId="237ADE18">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市辖区统筹规划空中、陆上和水上应急通道。空中应急通道包括</w:t>
      </w:r>
      <w:r>
        <w:rPr>
          <w:rFonts w:hint="eastAsia" w:ascii="宋体" w:hAnsi="宋体" w:eastAsia="宋体" w:cs="宋体"/>
          <w:color w:val="000000" w:themeColor="text1"/>
          <w:sz w:val="32"/>
          <w:szCs w:val="32"/>
        </w:rPr>
        <w:t>3</w:t>
      </w:r>
      <w:r>
        <w:rPr>
          <w:rFonts w:hint="eastAsia" w:ascii="宋体" w:hAnsi="宋体" w:eastAsia="宋体" w:cs="宋体"/>
          <w:color w:val="000000" w:themeColor="text1"/>
          <w:sz w:val="32"/>
          <w:szCs w:val="32"/>
        </w:rPr>
        <w:t>处通用机场。水上应急通道包括太湖、京杭运河、锡澄运河等七级以上航道。陆上应急通道包括救灾干道、疏散主通道、疏散次通道和一般疏散通道，依托高速公路、国道、省道、城市快速路、城市主干路等形成相互贯通的网状应急通道体系。</w:t>
      </w:r>
    </w:p>
    <w:p w14:paraId="25B2D4B6">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2</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应急避难场所</w:t>
      </w:r>
    </w:p>
    <w:p w14:paraId="11061F71">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以城乡生活圈为基础构建城市健康安全单元，完善应急空间网络。结合符合防灾避险条件的公园绿地广场等开敞空间和体育场馆等公共设施，布局网络化、分布式的应急避难场所和疏散通道。建设中心、固定、紧急三级应急避难场所，实现应急避难场所城镇范围全覆盖。在城镇外围预留应急设施建设空间，提前建设道路与市政基础设施。</w:t>
      </w:r>
    </w:p>
    <w:p w14:paraId="6CD46D4A">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3</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应急服务设施</w:t>
      </w:r>
    </w:p>
    <w:p w14:paraId="24D1158E">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预留应急用地，加强应急服务设施建设，全面提升城市应急服务水平。</w:t>
      </w:r>
    </w:p>
    <w:p w14:paraId="307CF73F">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安全生产</w:t>
      </w:r>
    </w:p>
    <w:p w14:paraId="3F77E4F9">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严格按照相关行业设计规范进行重大危险源布局规划</w:t>
      </w:r>
      <w:r>
        <w:rPr>
          <w:rFonts w:hint="eastAsia" w:ascii="宋体" w:hAnsi="宋体" w:eastAsia="宋体" w:cs="宋体"/>
          <w:color w:val="FF0000"/>
          <w:sz w:val="32"/>
          <w:szCs w:val="32"/>
        </w:rPr>
        <w:t>。</w:t>
      </w:r>
      <w:r>
        <w:rPr>
          <w:rFonts w:hint="eastAsia" w:ascii="宋体" w:hAnsi="宋体" w:eastAsia="宋体" w:cs="宋体"/>
          <w:color w:val="000000" w:themeColor="text1"/>
          <w:sz w:val="32"/>
          <w:szCs w:val="32"/>
        </w:rPr>
        <w:t>推进危化品企业转型或向化工园区集聚</w:t>
      </w:r>
      <w:r>
        <w:rPr>
          <w:rFonts w:hint="eastAsia" w:ascii="宋体" w:hAnsi="宋体" w:eastAsia="宋体" w:cs="宋体"/>
          <w:color w:val="FF0000"/>
          <w:sz w:val="32"/>
          <w:szCs w:val="32"/>
        </w:rPr>
        <w:t>，</w:t>
      </w:r>
      <w:r>
        <w:rPr>
          <w:rFonts w:hint="eastAsia" w:ascii="宋体" w:hAnsi="宋体" w:eastAsia="宋体" w:cs="宋体"/>
          <w:color w:val="000000" w:themeColor="text1"/>
          <w:sz w:val="32"/>
          <w:szCs w:val="32"/>
        </w:rPr>
        <w:t>化工园区设置危化品应急救援物资储备库和特勤消防站，划定安全防护和缓冲空间。</w:t>
      </w:r>
      <w:r>
        <w:rPr>
          <w:rFonts w:hint="eastAsia" w:ascii="宋体" w:hAnsi="宋体" w:eastAsia="宋体" w:cs="宋体"/>
          <w:color w:val="000000" w:themeColor="text1"/>
          <w:sz w:val="32"/>
          <w:szCs w:val="32"/>
        </w:rPr>
        <w:t>科学划定大型危险品存储用地安全防护和缓冲空间</w:t>
      </w:r>
      <w:r>
        <w:rPr>
          <w:rFonts w:hint="eastAsia" w:ascii="宋体" w:hAnsi="宋体" w:eastAsia="宋体" w:cs="宋体"/>
          <w:color w:val="FF0000"/>
          <w:sz w:val="32"/>
          <w:szCs w:val="32"/>
        </w:rPr>
        <w:t>，</w:t>
      </w:r>
      <w:r>
        <w:rPr>
          <w:rFonts w:hint="eastAsia" w:ascii="宋体" w:hAnsi="宋体" w:eastAsia="宋体" w:cs="宋体"/>
          <w:color w:val="000000" w:themeColor="text1"/>
          <w:sz w:val="32"/>
          <w:szCs w:val="32"/>
        </w:rPr>
        <w:t>危险品存储用地应远离城镇、水源保护区、人员密集场所等地区，并符合生态环境保护、安全生产、防火防灾的有关规定。</w:t>
      </w:r>
    </w:p>
    <w:p w14:paraId="5CF60B6E">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国防和军事设施</w:t>
      </w:r>
    </w:p>
    <w:p w14:paraId="0655F359">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u w:val="none"/>
        </w:rPr>
        <w:t>统筹国防设施用地布局，优先保障各类军事设施空间需求，巩固和提高一体化国家战略体系和能力。</w:t>
      </w:r>
      <w:r>
        <w:rPr>
          <w:rFonts w:hint="eastAsia" w:ascii="宋体" w:hAnsi="宋体" w:eastAsia="宋体" w:cs="宋体"/>
          <w:color w:val="000000" w:themeColor="text1"/>
          <w:sz w:val="32"/>
          <w:szCs w:val="32"/>
        </w:rPr>
        <w:t>贯彻国防要求，保障民用机场、港口、铁路等大型交通设施和大型物流枢纽基地等落实军民融合的空间需求。</w:t>
      </w:r>
    </w:p>
    <w:p w14:paraId="7DB332C4">
      <w:pPr>
        <w:pStyle w:val="3"/>
        <w:numPr>
          <w:ilvl w:val="0"/>
          <w:numId w:val="10"/>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244" w:name="_Toc176945835"/>
      <w:bookmarkStart w:id="245" w:name="_Toc11530"/>
      <w:bookmarkStart w:id="246" w:name="_Toc156410603"/>
      <w:bookmarkStart w:id="247" w:name="_Toc185189101"/>
      <w:bookmarkStart w:id="248" w:name="_Toc161582272"/>
      <w:bookmarkStart w:id="249" w:name="_Toc139397194"/>
      <w:r>
        <w:rPr>
          <w:rFonts w:hint="eastAsia" w:ascii="宋体" w:hAnsi="宋体" w:eastAsia="宋体" w:cs="宋体"/>
          <w:b w:val="0"/>
          <w:bCs w:val="0"/>
          <w:color w:val="000000" w:themeColor="text1"/>
        </w:rPr>
        <w:t>环境保护</w:t>
      </w:r>
      <w:bookmarkEnd w:id="244"/>
      <w:bookmarkEnd w:id="245"/>
      <w:bookmarkEnd w:id="246"/>
      <w:bookmarkEnd w:id="247"/>
      <w:bookmarkEnd w:id="248"/>
      <w:bookmarkEnd w:id="249"/>
    </w:p>
    <w:p w14:paraId="43839D35">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大气污染防治</w:t>
      </w:r>
    </w:p>
    <w:p w14:paraId="1E689FA1">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工业废气污染防治。</w:t>
      </w:r>
      <w:r>
        <w:rPr>
          <w:rFonts w:hint="eastAsia" w:ascii="宋体" w:hAnsi="宋体" w:eastAsia="宋体" w:cs="宋体"/>
          <w:color w:val="000000" w:themeColor="text1"/>
          <w:sz w:val="32"/>
          <w:szCs w:val="32"/>
        </w:rPr>
        <w:t>有序推进石化、水泥、建材、有色等非电非钢行业超低排放改造，全面完成天然气电厂、燃气锅炉低氮改造和钢铁行业超低排放改造。加强挥发性有机污染物控制，加大重点行业清洁原料替代力度。</w:t>
      </w:r>
    </w:p>
    <w:p w14:paraId="64193703">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机动车尾气污染治理。</w:t>
      </w:r>
      <w:r>
        <w:rPr>
          <w:rFonts w:hint="eastAsia" w:ascii="宋体" w:hAnsi="宋体" w:eastAsia="宋体" w:cs="宋体"/>
          <w:color w:val="000000" w:themeColor="text1"/>
          <w:sz w:val="32"/>
          <w:szCs w:val="32"/>
        </w:rPr>
        <w:t>完善在用汽车排放检测与强制维护制度，推动氢燃料电池汽车示范应用，有序推广清洁能源汽车。</w:t>
      </w:r>
    </w:p>
    <w:p w14:paraId="76C1CF10">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控制扬尘和面源污染。</w:t>
      </w:r>
      <w:r>
        <w:rPr>
          <w:rFonts w:hint="eastAsia" w:ascii="宋体" w:hAnsi="宋体" w:eastAsia="宋体" w:cs="宋体"/>
          <w:color w:val="000000" w:themeColor="text1"/>
          <w:sz w:val="32"/>
          <w:szCs w:val="32"/>
        </w:rPr>
        <w:t>严格工地监管，推进智慧工地建设。推动道路交通扬尘精细化管控，完善保洁作业质量标准，落实渣土车全过程监管，推进堆场、码头扬尘污染控制。</w:t>
      </w:r>
    </w:p>
    <w:p w14:paraId="5EECD042">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土壤污染防治</w:t>
      </w:r>
    </w:p>
    <w:p w14:paraId="25A91E13">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严格建设用地准入管理，地块用地报批时应符合相应规划用地土壤环境要求。因地制宜开展土壤污染治理与修复，保障用地安全。</w:t>
      </w:r>
    </w:p>
    <w:p w14:paraId="38DD837C">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固体废物污染治理</w:t>
      </w:r>
    </w:p>
    <w:p w14:paraId="49B8A4E7">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构建市县协同、城乡统筹、结构合理、技术先进的固废处理体系，预留固体废物利用处置设施用地，布局固废循环设施，提升固废综合处理能力，推进</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无废城市</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建设。提升固体废弃物处置能力和资源化利用水平，保障建筑垃圾资源化处理设施用地，推进中心城区生活垃圾分类转运中心建设，构建集多种处置设施为一体的环卫设施体系。</w:t>
      </w:r>
      <w:r>
        <w:rPr>
          <w:rFonts w:hint="eastAsia" w:ascii="宋体" w:hAnsi="宋体" w:eastAsia="宋体" w:cs="宋体"/>
          <w:color w:val="000000" w:themeColor="text1"/>
          <w:sz w:val="32"/>
          <w:szCs w:val="32"/>
        </w:rPr>
        <w:t>建设一般工业固体废物收贮运一体化中心，提高工业危险废物综合利用率，降低全市的工业危险废物填埋处置量。</w:t>
      </w:r>
    </w:p>
    <w:p w14:paraId="4F9EEB2C">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噪声污染控制</w:t>
      </w:r>
    </w:p>
    <w:p w14:paraId="19D059A7">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落实声环境功能区控制要求，合理划定建筑物与交通干线等的防噪声距离，采取有效措施，控制环境噪声污染程度和范围。构建完善的环境噪声管理体系，不断提高声环境质量，建设宁静舒适的声环境。</w:t>
      </w:r>
    </w:p>
    <w:p w14:paraId="4D01F107">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水污染治理</w:t>
      </w:r>
    </w:p>
    <w:p w14:paraId="6946F308">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河湖水环境综合治理。</w:t>
      </w:r>
      <w:r>
        <w:rPr>
          <w:rFonts w:hint="eastAsia" w:ascii="宋体" w:hAnsi="宋体" w:eastAsia="宋体" w:cs="宋体"/>
          <w:color w:val="000000" w:themeColor="text1"/>
          <w:sz w:val="32"/>
          <w:szCs w:val="32"/>
        </w:rPr>
        <w:t>深化美丽幸福河湖建设，深入推进太湖治理和新一轮河道环境综合整治，强化河湖长制。按照常态与应急相结合的模式，对入湖河口、湖泛易发区及时开展应急清淤，降低湖泛发生的可能性。加强饮用水水源地保护，健全城市供水安全保障体系，确保饮用水安全。</w:t>
      </w:r>
    </w:p>
    <w:p w14:paraId="78B0F229">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工业废水治理。</w:t>
      </w:r>
      <w:r>
        <w:rPr>
          <w:rFonts w:hint="eastAsia" w:ascii="宋体" w:hAnsi="宋体" w:eastAsia="宋体" w:cs="宋体"/>
          <w:color w:val="000000" w:themeColor="text1"/>
          <w:sz w:val="32"/>
          <w:szCs w:val="32"/>
        </w:rPr>
        <w:t>推进工业废水处理能力建设，重点加强纺织印染、电镀、医药、食品等行业废水治理。推进工业集聚区工业废水与生活污水分开收集、分质处理。</w:t>
      </w:r>
    </w:p>
    <w:p w14:paraId="29B3E675">
      <w:pPr>
        <w:pStyle w:val="35"/>
        <w:spacing w:before="0" w:beforeAutospacing="0" w:after="0" w:afterAutospacing="0" w:line="600" w:lineRule="exact"/>
        <w:ind w:firstLine="643" w:firstLineChars="200"/>
        <w:jc w:val="both"/>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农业和农村水污染防治。</w:t>
      </w:r>
      <w:r>
        <w:rPr>
          <w:rFonts w:hint="eastAsia" w:ascii="宋体" w:hAnsi="宋体" w:eastAsia="宋体" w:cs="宋体"/>
          <w:color w:val="000000" w:themeColor="text1"/>
          <w:sz w:val="32"/>
          <w:szCs w:val="32"/>
        </w:rPr>
        <w:t>因地制宜对农田灌排系统进行生态化改造，推进农田退水净化利用，推动高标准农田、养殖池塘生态化。加强有机废弃物处理利用，建设农村生态河道和生态清洁小流域，全面改善农村水环境。</w:t>
      </w:r>
    </w:p>
    <w:p w14:paraId="672D3EC8">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废旧物资循环利用</w:t>
      </w:r>
    </w:p>
    <w:p w14:paraId="2157BECE">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推动再生资源加工利用产业集聚化发展，持续提升国家级资源循环利用基地处置能力。加强用地空间保障，通过利用存量厂房和限制用地规模等方式，为交投点、中转站、分拣中心和再生资源加工利用产业基地等建设提供空间保障。</w:t>
      </w:r>
    </w:p>
    <w:p w14:paraId="2CFE691D">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生态环境基础设施</w:t>
      </w:r>
    </w:p>
    <w:p w14:paraId="2507B32F">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加快形成布局合理、支撑有力、运行高效的生态环境基础设施体系，强化生态环境基础设施空间预留和用地保障。加强水源地、水域核心区等水生态涵养区保护，协同推进太湖流域、长江干流等重要河湖湿地保护与修复。推动生态环境基础设施协同共享，探索建设集多种生态环境基础设施服务功能于一体的综合处置基地。</w:t>
      </w:r>
    </w:p>
    <w:p w14:paraId="2EAE5499">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br w:type="page"/>
      </w:r>
    </w:p>
    <w:p w14:paraId="311E4001">
      <w:pPr>
        <w:pStyle w:val="2"/>
        <w:numPr>
          <w:ilvl w:val="0"/>
          <w:numId w:val="2"/>
        </w:numPr>
        <w:snapToGrid w:val="0"/>
        <w:spacing w:before="0" w:after="156" w:afterLines="50" w:line="500" w:lineRule="exact"/>
        <w:ind w:left="0" w:firstLine="0"/>
        <w:jc w:val="center"/>
        <w:rPr>
          <w:rFonts w:hint="eastAsia" w:ascii="宋体" w:hAnsi="宋体" w:eastAsia="宋体" w:cs="宋体"/>
          <w:b w:val="0"/>
          <w:color w:val="000000" w:themeColor="text1"/>
          <w:sz w:val="36"/>
          <w:szCs w:val="36"/>
        </w:rPr>
      </w:pPr>
      <w:bookmarkStart w:id="250" w:name="_Toc139397195"/>
      <w:bookmarkEnd w:id="250"/>
      <w:bookmarkStart w:id="251" w:name="_Toc185189102"/>
      <w:bookmarkStart w:id="252" w:name="_Toc161582273"/>
      <w:bookmarkStart w:id="253" w:name="_Toc7559"/>
      <w:bookmarkStart w:id="254" w:name="_Toc176945836"/>
      <w:bookmarkStart w:id="255" w:name="_Toc156410604"/>
      <w:r>
        <w:rPr>
          <w:rFonts w:hint="eastAsia" w:ascii="宋体" w:hAnsi="宋体" w:eastAsia="宋体" w:cs="宋体"/>
          <w:b w:val="0"/>
          <w:color w:val="000000" w:themeColor="text1"/>
          <w:sz w:val="36"/>
          <w:szCs w:val="36"/>
        </w:rPr>
        <w:t>土地节约集约高效利用</w:t>
      </w:r>
      <w:bookmarkEnd w:id="251"/>
      <w:bookmarkEnd w:id="252"/>
      <w:bookmarkEnd w:id="253"/>
      <w:bookmarkEnd w:id="254"/>
      <w:bookmarkEnd w:id="255"/>
    </w:p>
    <w:p w14:paraId="029B81D1">
      <w:pPr>
        <w:pStyle w:val="3"/>
        <w:numPr>
          <w:ilvl w:val="0"/>
          <w:numId w:val="11"/>
        </w:numPr>
        <w:spacing w:before="156" w:beforeLines="50" w:after="156" w:afterLines="50" w:line="560" w:lineRule="exact"/>
        <w:jc w:val="center"/>
        <w:rPr>
          <w:rFonts w:hint="eastAsia" w:ascii="宋体" w:hAnsi="宋体" w:eastAsia="宋体" w:cs="宋体"/>
          <w:b w:val="0"/>
          <w:bCs w:val="0"/>
          <w:color w:val="000000" w:themeColor="text1"/>
        </w:rPr>
      </w:pPr>
      <w:bookmarkStart w:id="256" w:name="_Toc185189103"/>
      <w:bookmarkStart w:id="257" w:name="_Toc176945837"/>
      <w:bookmarkStart w:id="258" w:name="_Toc161582274"/>
      <w:bookmarkStart w:id="259" w:name="_Toc156410605"/>
      <w:bookmarkStart w:id="260" w:name="_Toc8613"/>
      <w:r>
        <w:rPr>
          <w:rFonts w:hint="eastAsia" w:ascii="宋体" w:hAnsi="宋体" w:eastAsia="宋体" w:cs="宋体"/>
          <w:b w:val="0"/>
          <w:bCs w:val="0"/>
          <w:color w:val="000000" w:themeColor="text1"/>
        </w:rPr>
        <w:t>节约集约目标与</w:t>
      </w:r>
      <w:bookmarkEnd w:id="256"/>
      <w:bookmarkEnd w:id="257"/>
      <w:bookmarkEnd w:id="258"/>
      <w:bookmarkEnd w:id="259"/>
      <w:r>
        <w:rPr>
          <w:rFonts w:hint="eastAsia" w:ascii="宋体" w:hAnsi="宋体" w:eastAsia="宋体" w:cs="宋体"/>
          <w:b w:val="0"/>
          <w:bCs w:val="0"/>
          <w:color w:val="000000" w:themeColor="text1"/>
        </w:rPr>
        <w:t>策略</w:t>
      </w:r>
      <w:bookmarkEnd w:id="260"/>
    </w:p>
    <w:p w14:paraId="594F2DF8">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土地节约集约利用目标</w:t>
      </w:r>
    </w:p>
    <w:p w14:paraId="532C5A67">
      <w:pPr>
        <w:pStyle w:val="35"/>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以严守底线为前提，以空间重塑为核心，以效益提升为导向，积极推进土地利用方式转变，严格土地使用标准和节约集约评价，</w:t>
      </w:r>
      <w:r>
        <w:rPr>
          <w:rFonts w:hint="eastAsia" w:ascii="宋体" w:hAnsi="宋体" w:eastAsia="宋体" w:cs="宋体"/>
          <w:color w:val="000000" w:themeColor="text1"/>
          <w:sz w:val="32"/>
          <w:szCs w:val="32"/>
          <w:shd w:val="clear" w:color="auto" w:fill="FFFFFF"/>
        </w:rPr>
        <w:t>合理优化土地利用结构和空间布局，促进土地利用质量和效益提升，全面提高土地要素保障水平。严格控制总量，统筹安排增量，积极挖潜存量，不断提高质量，实现国土空间高质量保护利用。</w:t>
      </w:r>
    </w:p>
    <w:p w14:paraId="378AA426">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土地节约集约利用策略</w:t>
      </w:r>
    </w:p>
    <w:p w14:paraId="3EC838AE">
      <w:pPr>
        <w:pStyle w:val="35"/>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统筹存量和增量空间，优化增量用地配置，合理安排城镇建设用地规模、结构、布局和时序，新增城镇建设用地向城镇开发边界内集聚，引导空间资源向优势地区集中、产业向园区集聚。开展空间绩效评价，推进年度用地计划指标配置与存量盘活、绩效提升、闲置用地处置相挂钩，新增建设用地计划指标优先保障重点交通和市政基础设施、民生服务项目，优先向土地节约集约利用水平高的区域及亩均效益好的项目倾斜。创新存量空间盘活路径，完善低效用地再开发政策体系，强化重点建设项目全过程节约集约管理。</w:t>
      </w:r>
    </w:p>
    <w:p w14:paraId="053658FB">
      <w:pPr>
        <w:pStyle w:val="3"/>
        <w:numPr>
          <w:ilvl w:val="0"/>
          <w:numId w:val="11"/>
        </w:numPr>
        <w:spacing w:before="156" w:beforeLines="50" w:after="156" w:afterLines="50" w:line="560" w:lineRule="exact"/>
        <w:jc w:val="center"/>
        <w:rPr>
          <w:rFonts w:hint="eastAsia" w:ascii="宋体" w:hAnsi="宋体" w:eastAsia="宋体" w:cs="宋体"/>
          <w:b w:val="0"/>
          <w:bCs w:val="0"/>
          <w:color w:val="000000" w:themeColor="text1"/>
        </w:rPr>
      </w:pPr>
      <w:bookmarkStart w:id="261" w:name="_Toc176945838"/>
      <w:bookmarkStart w:id="262" w:name="_Toc185189104"/>
      <w:bookmarkStart w:id="263" w:name="_Toc23098"/>
      <w:r>
        <w:rPr>
          <w:rFonts w:hint="eastAsia" w:ascii="宋体" w:hAnsi="宋体" w:eastAsia="宋体" w:cs="宋体"/>
          <w:b w:val="0"/>
          <w:bCs w:val="0"/>
          <w:color w:val="000000" w:themeColor="text1"/>
        </w:rPr>
        <w:t>存量用地提质增效</w:t>
      </w:r>
      <w:bookmarkEnd w:id="261"/>
      <w:bookmarkEnd w:id="262"/>
      <w:bookmarkEnd w:id="263"/>
    </w:p>
    <w:p w14:paraId="0FAE5423">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存量空间盘活</w:t>
      </w:r>
    </w:p>
    <w:p w14:paraId="70709B01">
      <w:pPr>
        <w:spacing w:line="600" w:lineRule="exact"/>
        <w:ind w:firstLine="640" w:firstLineChars="200"/>
        <w:rPr>
          <w:rFonts w:hint="eastAsia" w:ascii="宋体" w:hAnsi="宋体" w:eastAsia="宋体" w:cs="宋体"/>
          <w:bCs/>
          <w:color w:val="000000" w:themeColor="text1"/>
          <w:sz w:val="32"/>
          <w:szCs w:val="32"/>
        </w:rPr>
      </w:pPr>
      <w:r>
        <w:rPr>
          <w:rFonts w:hint="eastAsia" w:ascii="宋体" w:hAnsi="宋体" w:eastAsia="宋体" w:cs="宋体"/>
          <w:color w:val="000000" w:themeColor="text1"/>
          <w:sz w:val="32"/>
          <w:szCs w:val="32"/>
          <w:shd w:val="clear" w:color="auto" w:fill="FFFFFF"/>
        </w:rPr>
        <w:t>以有利于优化城市空间结构、激发经济社会活力、保护历史文化、完善公共服务设施、改善宜居环境品质等为导向，有序实施老旧存量地区的更新改造。针对老旧居住空间、低效办公空间和低效商贸空间等重点存量空间，采取综合整治、转型升级、保护修缮等多种盘活方式，支撑实施城市更新行动</w:t>
      </w:r>
      <w:r>
        <w:rPr>
          <w:rFonts w:hint="eastAsia" w:ascii="宋体" w:hAnsi="宋体" w:eastAsia="宋体" w:cs="宋体"/>
          <w:bCs/>
          <w:color w:val="000000" w:themeColor="text1"/>
          <w:sz w:val="32"/>
          <w:szCs w:val="32"/>
        </w:rPr>
        <w:t>。</w:t>
      </w:r>
    </w:p>
    <w:p w14:paraId="0E9161A6">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分类引导存量空间盘活利用。根据功能导向和差别化的空间引导，将存量空间分为综合提升类、产业焕新类和历史文化保护类。综合提升类以品质提升为主，推进老旧小区和棚户区改造，充分挖掘可利用的存量空间资源，鼓励用地兼容，完善公共服务设施，增加必要的开敞空间，优化人居环境品质。产业焕新类以提质增效为主，盘活低效产业用地，适度培育嵌入式创新平台载体，为小微科创企业提供多样化、多层次的成长空间。历史文化保护类以保护控制为主，加强历史文化空间的保护与活化利用，培育文化场景，提升历史人文魅力。</w:t>
      </w:r>
    </w:p>
    <w:p w14:paraId="14B44BA8">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产业空间优化焕新</w:t>
      </w:r>
    </w:p>
    <w:p w14:paraId="2452CBFF">
      <w:pPr>
        <w:pStyle w:val="35"/>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推动产业园整治提升。推进布局分散、产出少、规模小的产业园及村镇工业集中区空间整合优化。对工业用地控制线范围内符合产业空间布局的低效工业用地，综合运用增容技改、产业更新、政府储备、闲置扩能、混合利用、置换盘活、连片改造等路径实现产业焕新，提高产业用地利用效率和产出效益。</w:t>
      </w:r>
    </w:p>
    <w:p w14:paraId="0AD4E5DC">
      <w:pPr>
        <w:pStyle w:val="35"/>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促进低效产业空间转型更新。对确因城市发展或产业转型升级需进行功能转换的低效工业用地，在满足产业空间布局要求及规模总量的基础上，通过产城融合、产业更新、城市更新等路径，规范有序引导现代服务业转型发展，完善城市公共基础设施。推动锡山经济技术开发区、江苏无锡惠山经济开发区、无锡高新技术产业开发区等从单一生产功能向城市综合功能转型。</w:t>
      </w:r>
    </w:p>
    <w:p w14:paraId="1BFB79A3">
      <w:pPr>
        <w:pStyle w:val="35"/>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引导低效用地腾挪置换。近期以城镇开发边界外、不符合产业发展规划及产业空间布局的低效集体工矿用地和</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散乱污</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企业为重点，逐步推动向产业园区内高标准厂房腾挪置换。远期推进城镇开发边界内位于开敞空间和生态廊道内的低效工矿用地有序腾挪。</w:t>
      </w:r>
    </w:p>
    <w:p w14:paraId="20D6B189">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低效城镇用地提质</w:t>
      </w:r>
    </w:p>
    <w:p w14:paraId="420EF4CA">
      <w:pPr>
        <w:pStyle w:val="35"/>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聚焦城中村、老旧小区以及其他各类老旧城镇区域，通过城市更新改造等措施，统筹推动老旧小区综合改造、特色风貌塑造及空间复合利用，改善居民住房条件，完善公共空间和公共服务设施，提高基础设施服务水平，提升人居品质。</w:t>
      </w:r>
    </w:p>
    <w:p w14:paraId="11D03EA2">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低效乡村用地盘活</w:t>
      </w:r>
    </w:p>
    <w:p w14:paraId="2C76873F">
      <w:pPr>
        <w:pStyle w:val="35"/>
        <w:snapToGrid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加强乡村地区规划引导，统筹农业保护和乡村发展空间，综合运用土地综合整治、城乡建设用地增减挂钩、耕地整治恢复等方式，加强村庄用地整治和耕地连片整治。鼓励利用低效村庄用地实施农村一二三产业融合发展项目，探索闲置集体公益性建设用地的盘活利用。</w:t>
      </w:r>
    </w:p>
    <w:p w14:paraId="130F7C0B">
      <w:pPr>
        <w:pStyle w:val="3"/>
        <w:numPr>
          <w:ilvl w:val="0"/>
          <w:numId w:val="11"/>
        </w:numPr>
        <w:spacing w:before="156" w:beforeLines="50" w:after="156" w:afterLines="50" w:line="560" w:lineRule="exact"/>
        <w:jc w:val="center"/>
        <w:rPr>
          <w:rFonts w:hint="eastAsia" w:ascii="宋体" w:hAnsi="宋体" w:eastAsia="宋体" w:cs="宋体"/>
          <w:b w:val="0"/>
          <w:bCs w:val="0"/>
          <w:color w:val="000000" w:themeColor="text1"/>
        </w:rPr>
      </w:pPr>
      <w:bookmarkStart w:id="264" w:name="_Toc176945839"/>
      <w:bookmarkStart w:id="265" w:name="_Toc20639"/>
      <w:bookmarkStart w:id="266" w:name="_Toc185189105"/>
      <w:r>
        <w:rPr>
          <w:rFonts w:hint="eastAsia" w:ascii="宋体" w:hAnsi="宋体" w:eastAsia="宋体" w:cs="宋体"/>
          <w:b w:val="0"/>
          <w:bCs w:val="0"/>
          <w:color w:val="000000" w:themeColor="text1"/>
        </w:rPr>
        <w:t>建设用地高效复合利用</w:t>
      </w:r>
      <w:bookmarkEnd w:id="264"/>
      <w:bookmarkEnd w:id="265"/>
      <w:bookmarkEnd w:id="266"/>
    </w:p>
    <w:p w14:paraId="620515FA">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土地复合利用</w:t>
      </w:r>
    </w:p>
    <w:p w14:paraId="32FB05DE">
      <w:pPr>
        <w:pStyle w:val="35"/>
        <w:spacing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shd w:val="clear" w:color="auto" w:fill="FFFFFF"/>
        </w:rPr>
        <w:t>坚持以</w:t>
      </w:r>
      <w:r>
        <w:rPr>
          <w:rFonts w:hint="eastAsia" w:ascii="宋体" w:hAnsi="宋体" w:eastAsia="宋体" w:cs="宋体"/>
          <w:color w:val="000000" w:themeColor="text1"/>
          <w:sz w:val="32"/>
          <w:szCs w:val="32"/>
        </w:rPr>
        <w:t>公共交通为导向的综合立体开发</w:t>
      </w:r>
      <w:r>
        <w:rPr>
          <w:rFonts w:hint="eastAsia" w:ascii="宋体" w:hAnsi="宋体" w:eastAsia="宋体" w:cs="宋体"/>
          <w:color w:val="000000" w:themeColor="text1"/>
          <w:sz w:val="32"/>
          <w:szCs w:val="32"/>
          <w:shd w:val="clear" w:color="auto" w:fill="FFFFFF"/>
        </w:rPr>
        <w:t>，促进交通枢纽、轨道交通站点、公共交通场站混合布局商业服务、商务办公、住宅等用途。</w:t>
      </w:r>
      <w:r>
        <w:rPr>
          <w:rFonts w:hint="eastAsia" w:ascii="宋体" w:hAnsi="宋体" w:eastAsia="宋体" w:cs="宋体"/>
          <w:color w:val="000000" w:themeColor="text1"/>
          <w:sz w:val="32"/>
          <w:szCs w:val="32"/>
        </w:rPr>
        <w:t>鼓励用途互利、环境要求相似或相互间无不利影响的功能混合设置。鼓励各业态所需的配套服务设施集中建设，促进共享共用，提升综合服务水平。强化公共服务设施和市政基础设施的功能混合、“平急两用”。</w:t>
      </w:r>
    </w:p>
    <w:p w14:paraId="56F26303">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地下空间开发利用</w:t>
      </w:r>
    </w:p>
    <w:p w14:paraId="61F81C0C">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加强地上地下空间综合统筹、高效及系统化开发利用，优先推进城市中心和重要交通枢纽等地下空间利用，加强重点建设区域、重点建设项目的统筹管理和连片开发。鼓励商业中心和轨道交通枢纽周边地区适度提高地下空间开发强度，统筹规划地下轨道交通、地下快速路及综合管廊等各类地下交通市政基础设施，促进用地集约高效。优化地下空间竖向布置，预留次深层和深层地下空间。推进地上、地下交通枢纽相结合，完善支撑体系网络。</w:t>
      </w:r>
    </w:p>
    <w:p w14:paraId="4E439A04">
      <w:pPr>
        <w:spacing w:line="600" w:lineRule="exact"/>
        <w:ind w:firstLine="640" w:firstLineChars="200"/>
        <w:rPr>
          <w:rFonts w:hint="eastAsia" w:ascii="宋体" w:hAnsi="宋体" w:eastAsia="宋体" w:cs="宋体"/>
          <w:color w:val="000000" w:themeColor="text1"/>
          <w:kern w:val="0"/>
          <w:sz w:val="32"/>
          <w:szCs w:val="32"/>
        </w:rPr>
        <w:sectPr>
          <w:pgSz w:w="11906" w:h="16838"/>
          <w:pgMar w:top="1440" w:right="1800" w:bottom="1440" w:left="1800" w:header="851" w:footer="992" w:gutter="0"/>
          <w:cols w:space="425" w:num="1"/>
          <w:docGrid w:type="lines" w:linePitch="312" w:charSpace="0"/>
        </w:sectPr>
      </w:pPr>
    </w:p>
    <w:p w14:paraId="0DDDCFEC">
      <w:pPr>
        <w:pStyle w:val="2"/>
        <w:numPr>
          <w:ilvl w:val="0"/>
          <w:numId w:val="2"/>
        </w:numPr>
        <w:snapToGrid w:val="0"/>
        <w:spacing w:before="0" w:after="156" w:afterLines="50" w:line="500" w:lineRule="exact"/>
        <w:ind w:left="0" w:firstLine="0"/>
        <w:jc w:val="center"/>
        <w:rPr>
          <w:rFonts w:hint="eastAsia" w:ascii="宋体" w:hAnsi="宋体" w:eastAsia="宋体" w:cs="宋体"/>
          <w:b w:val="0"/>
          <w:color w:val="000000" w:themeColor="text1"/>
          <w:sz w:val="36"/>
          <w:szCs w:val="36"/>
        </w:rPr>
      </w:pPr>
      <w:bookmarkStart w:id="267" w:name="_Toc55"/>
      <w:bookmarkStart w:id="268" w:name="_Toc156410608"/>
      <w:bookmarkStart w:id="269" w:name="_Toc176945840"/>
      <w:bookmarkStart w:id="270" w:name="_Toc161582277"/>
      <w:bookmarkStart w:id="271" w:name="_Toc185189106"/>
      <w:r>
        <w:rPr>
          <w:rFonts w:hint="eastAsia" w:ascii="宋体" w:hAnsi="宋体" w:eastAsia="宋体" w:cs="宋体"/>
          <w:b w:val="0"/>
          <w:color w:val="000000" w:themeColor="text1"/>
          <w:sz w:val="36"/>
          <w:szCs w:val="36"/>
        </w:rPr>
        <w:t>区域协同</w:t>
      </w:r>
      <w:bookmarkEnd w:id="267"/>
      <w:bookmarkEnd w:id="268"/>
      <w:bookmarkEnd w:id="269"/>
      <w:bookmarkEnd w:id="270"/>
      <w:bookmarkEnd w:id="271"/>
      <w:bookmarkStart w:id="272" w:name="_Hlk118209458"/>
    </w:p>
    <w:p w14:paraId="75699C7D">
      <w:pPr>
        <w:pStyle w:val="3"/>
        <w:numPr>
          <w:ilvl w:val="0"/>
          <w:numId w:val="12"/>
        </w:numPr>
        <w:spacing w:before="156" w:beforeLines="50" w:after="156" w:afterLines="50" w:line="560" w:lineRule="exact"/>
        <w:jc w:val="center"/>
        <w:rPr>
          <w:rFonts w:hint="eastAsia" w:ascii="宋体" w:hAnsi="宋体" w:eastAsia="宋体" w:cs="宋体"/>
          <w:b w:val="0"/>
          <w:bCs w:val="0"/>
          <w:color w:val="000000" w:themeColor="text1"/>
        </w:rPr>
      </w:pPr>
      <w:bookmarkStart w:id="273" w:name="_Toc185189107"/>
      <w:bookmarkStart w:id="274" w:name="_Toc176945841"/>
      <w:bookmarkStart w:id="275" w:name="_Toc8074"/>
      <w:r>
        <w:rPr>
          <w:rFonts w:hint="eastAsia" w:ascii="宋体" w:hAnsi="宋体" w:eastAsia="宋体" w:cs="宋体"/>
          <w:b w:val="0"/>
          <w:bCs w:val="0"/>
          <w:color w:val="000000" w:themeColor="text1"/>
        </w:rPr>
        <w:t>推进长江、太湖生态保护</w:t>
      </w:r>
      <w:bookmarkEnd w:id="273"/>
      <w:bookmarkEnd w:id="274"/>
      <w:bookmarkEnd w:id="275"/>
    </w:p>
    <w:p w14:paraId="6EBA7994">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协同推进长江大保护</w:t>
      </w:r>
    </w:p>
    <w:p w14:paraId="720D00B6">
      <w:pPr>
        <w:widowControl/>
        <w:snapToGrid w:val="0"/>
        <w:spacing w:line="600" w:lineRule="exact"/>
        <w:ind w:firstLine="640" w:firstLineChars="200"/>
        <w:rPr>
          <w:rFonts w:hint="eastAsia" w:ascii="宋体" w:hAnsi="宋体" w:eastAsia="宋体" w:cs="宋体"/>
          <w:color w:val="000000" w:themeColor="text1"/>
          <w:kern w:val="0"/>
          <w:sz w:val="32"/>
          <w:szCs w:val="32"/>
        </w:rPr>
      </w:pPr>
      <w:r>
        <w:rPr>
          <w:rFonts w:hint="eastAsia" w:ascii="宋体" w:hAnsi="宋体" w:eastAsia="宋体" w:cs="宋体"/>
          <w:color w:val="000000" w:themeColor="text1"/>
          <w:kern w:val="0"/>
          <w:sz w:val="32"/>
          <w:szCs w:val="32"/>
        </w:rPr>
        <w:t>全面落实党中央、国务院关于长江经济带</w:t>
      </w:r>
      <w:r>
        <w:rPr>
          <w:rFonts w:hint="eastAsia" w:ascii="宋体" w:hAnsi="宋体" w:eastAsia="宋体" w:cs="宋体"/>
          <w:color w:val="000000" w:themeColor="text1"/>
          <w:kern w:val="0"/>
          <w:sz w:val="32"/>
          <w:szCs w:val="32"/>
        </w:rPr>
        <w:t>“</w:t>
      </w:r>
      <w:r>
        <w:rPr>
          <w:rFonts w:hint="eastAsia" w:ascii="宋体" w:hAnsi="宋体" w:eastAsia="宋体" w:cs="宋体"/>
          <w:color w:val="000000" w:themeColor="text1"/>
          <w:kern w:val="0"/>
          <w:sz w:val="32"/>
          <w:szCs w:val="32"/>
        </w:rPr>
        <w:t>共抓大保护、不搞大开发</w:t>
      </w:r>
      <w:r>
        <w:rPr>
          <w:rFonts w:hint="eastAsia" w:ascii="宋体" w:hAnsi="宋体" w:eastAsia="宋体" w:cs="宋体"/>
          <w:color w:val="000000" w:themeColor="text1"/>
          <w:kern w:val="0"/>
          <w:sz w:val="32"/>
          <w:szCs w:val="32"/>
        </w:rPr>
        <w:t>”</w:t>
      </w:r>
      <w:r>
        <w:rPr>
          <w:rFonts w:hint="eastAsia" w:ascii="宋体" w:hAnsi="宋体" w:eastAsia="宋体" w:cs="宋体"/>
          <w:color w:val="000000" w:themeColor="text1"/>
          <w:kern w:val="0"/>
          <w:sz w:val="32"/>
          <w:szCs w:val="32"/>
        </w:rPr>
        <w:t>的决策部署</w:t>
      </w:r>
      <w:r>
        <w:rPr>
          <w:rFonts w:hint="eastAsia" w:ascii="宋体" w:hAnsi="宋体" w:eastAsia="宋体" w:cs="宋体"/>
          <w:color w:val="000000" w:themeColor="text1"/>
          <w:kern w:val="0"/>
          <w:sz w:val="32"/>
          <w:szCs w:val="32"/>
        </w:rPr>
        <w:t>，全面保护长江干流（江阴段），协同</w:t>
      </w:r>
      <w:r>
        <w:rPr>
          <w:rFonts w:hint="eastAsia" w:ascii="宋体" w:hAnsi="宋体" w:eastAsia="宋体" w:cs="宋体"/>
          <w:color w:val="000000" w:themeColor="text1"/>
          <w:sz w:val="32"/>
          <w:szCs w:val="32"/>
          <w:shd w:val="clear" w:color="auto" w:fill="FFFFFF"/>
        </w:rPr>
        <w:t>推动沿江生态保护修复与绿色发展，持续推进沿江产业转型升级、岸线功能调整优化，</w:t>
      </w:r>
      <w:r>
        <w:rPr>
          <w:rFonts w:hint="eastAsia" w:ascii="宋体" w:hAnsi="宋体" w:eastAsia="宋体" w:cs="宋体"/>
          <w:color w:val="000000" w:themeColor="text1"/>
          <w:kern w:val="0"/>
          <w:sz w:val="32"/>
          <w:szCs w:val="32"/>
        </w:rPr>
        <w:t>加强长江两岸、干支流及沿江地区河湖水库协同治理，高水平建设江阴长江生态安全示范区。</w:t>
      </w:r>
    </w:p>
    <w:p w14:paraId="655BEC54">
      <w:pPr>
        <w:widowControl/>
        <w:snapToGrid w:val="0"/>
        <w:spacing w:line="600" w:lineRule="exact"/>
        <w:ind w:firstLine="643" w:firstLineChars="200"/>
        <w:rPr>
          <w:rFonts w:hint="eastAsia" w:ascii="宋体" w:hAnsi="宋体" w:eastAsia="宋体" w:cs="宋体"/>
          <w:color w:val="000000" w:themeColor="text1"/>
          <w:kern w:val="0"/>
          <w:sz w:val="32"/>
          <w:szCs w:val="32"/>
        </w:rPr>
      </w:pPr>
      <w:r>
        <w:rPr>
          <w:rFonts w:hint="eastAsia" w:ascii="宋体" w:hAnsi="宋体" w:eastAsia="宋体" w:cs="宋体"/>
          <w:b/>
          <w:bCs/>
          <w:color w:val="000000" w:themeColor="text1"/>
          <w:kern w:val="0"/>
          <w:sz w:val="32"/>
          <w:szCs w:val="32"/>
        </w:rPr>
        <w:t>加强岸线保护与利用。</w:t>
      </w:r>
      <w:r>
        <w:rPr>
          <w:rFonts w:hint="eastAsia" w:ascii="宋体" w:hAnsi="宋体" w:eastAsia="宋体" w:cs="宋体"/>
          <w:color w:val="000000" w:themeColor="text1"/>
          <w:kern w:val="0"/>
          <w:sz w:val="32"/>
          <w:szCs w:val="32"/>
        </w:rPr>
        <w:t>促进长江岸线保护和合理开发利用，</w:t>
      </w:r>
      <w:r>
        <w:rPr>
          <w:rFonts w:hint="eastAsia" w:ascii="宋体" w:hAnsi="宋体" w:eastAsia="宋体" w:cs="宋体"/>
          <w:color w:val="000000" w:themeColor="text1"/>
          <w:sz w:val="32"/>
          <w:szCs w:val="32"/>
        </w:rPr>
        <w:t>持续推进长江（江阴段）生态廊道建设，改善长江生态环境和水域生态功能，</w:t>
      </w:r>
      <w:r>
        <w:rPr>
          <w:rFonts w:hint="eastAsia" w:ascii="宋体" w:hAnsi="宋体" w:eastAsia="宋体" w:cs="宋体"/>
          <w:color w:val="000000" w:themeColor="text1"/>
          <w:kern w:val="0"/>
          <w:sz w:val="32"/>
          <w:szCs w:val="32"/>
        </w:rPr>
        <w:t>科学划分生产、生活、生态功能岸线比例。</w:t>
      </w:r>
    </w:p>
    <w:p w14:paraId="47CFFF04">
      <w:pPr>
        <w:widowControl/>
        <w:snapToGrid w:val="0"/>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kern w:val="0"/>
          <w:sz w:val="32"/>
          <w:szCs w:val="32"/>
        </w:rPr>
        <w:t>加强饮用水水源地保护。</w:t>
      </w:r>
      <w:r>
        <w:rPr>
          <w:rFonts w:hint="eastAsia" w:ascii="宋体" w:hAnsi="宋体" w:eastAsia="宋体" w:cs="宋体"/>
          <w:color w:val="000000" w:themeColor="text1"/>
          <w:sz w:val="32"/>
          <w:szCs w:val="32"/>
          <w:shd w:val="clear" w:color="auto" w:fill="FFFFFF"/>
        </w:rPr>
        <w:t>严格保护江阴沿江饮用水水源地，统筹取水口、排水口布局，保护长江西石桥饮用水水源地、肖山饮用水水源地、长江小湾饮用水水源地，</w:t>
      </w:r>
      <w:r>
        <w:rPr>
          <w:rFonts w:hint="eastAsia" w:ascii="宋体" w:hAnsi="宋体" w:eastAsia="宋体" w:cs="宋体"/>
          <w:color w:val="000000" w:themeColor="text1"/>
          <w:sz w:val="32"/>
          <w:szCs w:val="32"/>
        </w:rPr>
        <w:t>明确</w:t>
      </w:r>
      <w:r>
        <w:rPr>
          <w:rFonts w:hint="eastAsia" w:ascii="宋体" w:hAnsi="宋体" w:eastAsia="宋体" w:cs="宋体"/>
          <w:color w:val="000000" w:themeColor="text1"/>
          <w:sz w:val="32"/>
          <w:szCs w:val="32"/>
          <w:shd w:val="clear" w:color="auto" w:fill="FFFFFF"/>
        </w:rPr>
        <w:t>水源保护区</w:t>
      </w:r>
      <w:r>
        <w:rPr>
          <w:rFonts w:hint="eastAsia" w:ascii="宋体" w:hAnsi="宋体" w:eastAsia="宋体" w:cs="宋体"/>
          <w:color w:val="000000" w:themeColor="text1"/>
          <w:sz w:val="32"/>
          <w:szCs w:val="32"/>
        </w:rPr>
        <w:t>的分区管理规则</w:t>
      </w:r>
      <w:r>
        <w:rPr>
          <w:rFonts w:hint="eastAsia" w:ascii="宋体" w:hAnsi="宋体" w:eastAsia="宋体" w:cs="宋体"/>
          <w:color w:val="000000" w:themeColor="text1"/>
          <w:sz w:val="32"/>
          <w:szCs w:val="32"/>
          <w:shd w:val="clear" w:color="auto" w:fill="FFFFFF"/>
        </w:rPr>
        <w:t>。做好饮用水水源地达标建设，防止水体污染，保障</w:t>
      </w:r>
      <w:r>
        <w:rPr>
          <w:rFonts w:hint="eastAsia" w:ascii="宋体" w:hAnsi="宋体" w:eastAsia="宋体" w:cs="宋体"/>
          <w:color w:val="000000" w:themeColor="text1"/>
          <w:sz w:val="32"/>
          <w:szCs w:val="32"/>
        </w:rPr>
        <w:t>城乡居民饮用水安全。</w:t>
      </w:r>
    </w:p>
    <w:p w14:paraId="14436C4B">
      <w:pPr>
        <w:widowControl/>
        <w:snapToGrid w:val="0"/>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color w:val="000000" w:themeColor="text1"/>
          <w:sz w:val="32"/>
          <w:szCs w:val="32"/>
        </w:rPr>
        <w:t>加强水环境治理。</w:t>
      </w:r>
      <w:r>
        <w:rPr>
          <w:rFonts w:hint="eastAsia" w:ascii="宋体" w:hAnsi="宋体" w:eastAsia="宋体" w:cs="宋体"/>
          <w:color w:val="000000" w:themeColor="text1"/>
          <w:sz w:val="32"/>
          <w:szCs w:val="32"/>
        </w:rPr>
        <w:t>扎实推进水污染防治，强化主要入江支流水质管控。深入推进长江干流（江阴段）入江排污口排查、监测、溯源、整治工作，从严控制化工和化学原料制造等行业有机毒物的排放，控制主要污染物入江总量在水体纳污能力范围之内。</w:t>
      </w:r>
    </w:p>
    <w:p w14:paraId="322CE2EE">
      <w:pPr>
        <w:widowControl/>
        <w:snapToGrid w:val="0"/>
        <w:spacing w:line="600" w:lineRule="exact"/>
        <w:ind w:firstLine="643" w:firstLineChars="200"/>
        <w:rPr>
          <w:rFonts w:hint="eastAsia" w:ascii="宋体" w:hAnsi="宋体" w:eastAsia="宋体" w:cs="宋体"/>
          <w:color w:val="000000" w:themeColor="text1"/>
          <w:kern w:val="0"/>
          <w:sz w:val="32"/>
          <w:szCs w:val="32"/>
        </w:rPr>
      </w:pPr>
      <w:r>
        <w:rPr>
          <w:rFonts w:hint="eastAsia" w:ascii="宋体" w:hAnsi="宋体" w:eastAsia="宋体" w:cs="宋体"/>
          <w:b/>
          <w:bCs/>
          <w:color w:val="000000" w:themeColor="text1"/>
          <w:kern w:val="0"/>
          <w:sz w:val="32"/>
          <w:szCs w:val="32"/>
        </w:rPr>
        <w:t>开展生态修复。</w:t>
      </w:r>
      <w:r>
        <w:rPr>
          <w:rFonts w:hint="eastAsia" w:ascii="宋体" w:hAnsi="宋体" w:eastAsia="宋体" w:cs="宋体"/>
          <w:color w:val="000000" w:themeColor="text1"/>
          <w:sz w:val="32"/>
          <w:szCs w:val="32"/>
        </w:rPr>
        <w:t>重点保护长江（江阴段）重要湿地，推进水生态修复和水资源保护。加强江滩及通江河流等重要湿地保护和修复，提升生态系统功能</w:t>
      </w:r>
      <w:r>
        <w:rPr>
          <w:rFonts w:hint="eastAsia" w:ascii="宋体" w:hAnsi="宋体" w:eastAsia="宋体" w:cs="宋体"/>
          <w:color w:val="000000" w:themeColor="text1"/>
          <w:kern w:val="0"/>
          <w:sz w:val="32"/>
          <w:szCs w:val="32"/>
        </w:rPr>
        <w:t>。统筹沿江自然湿地和森林资源，加强森林保护和修复，实施沿江生态防护林建设。</w:t>
      </w:r>
    </w:p>
    <w:p w14:paraId="65B6A27D">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协同推进太湖保护</w:t>
      </w:r>
    </w:p>
    <w:p w14:paraId="359B6885">
      <w:pPr>
        <w:pStyle w:val="35"/>
        <w:autoSpaceDE w:val="0"/>
        <w:autoSpaceDN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落实太湖保护要求，协同推进太湖流域综合治理，加强太湖无锡水域岸线保护利用，改善太湖水环境质量。与环太湖城市共同探索建立区域联防联治机制和生态保护补偿机制，推进环太湖地区生态共保、环境共治。</w:t>
      </w:r>
    </w:p>
    <w:p w14:paraId="1E6AE3F1">
      <w:pPr>
        <w:widowControl/>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kern w:val="0"/>
          <w:sz w:val="32"/>
          <w:szCs w:val="32"/>
          <w:shd w:val="clear" w:color="auto" w:fill="FFFFFF"/>
        </w:rPr>
        <w:t>加强水环境治理。</w:t>
      </w:r>
      <w:r>
        <w:rPr>
          <w:rFonts w:hint="eastAsia" w:ascii="宋体" w:hAnsi="宋体" w:eastAsia="宋体" w:cs="宋体"/>
          <w:color w:val="000000" w:themeColor="text1"/>
          <w:sz w:val="32"/>
          <w:szCs w:val="32"/>
        </w:rPr>
        <w:t>共同治理和维护太湖水环境，加强太湖周边山体水源涵养，持续改善流域生态环境，促进全域水环境提升，主要入湖河道地表水质量不低于国家和省考核目标。根据无锡市地下水污染防治需要，划定地下水污染防治重点区，实施地下水环境分区管理、分级防治，明确环境准入、隐患排查、风险管控等管理要求。推进环太湖地区有机废弃物处理利用，严控污染排放、降低农业面源污染。依托引江济太工程，维持太湖合理水位，促进太湖及河网水体流动。</w:t>
      </w:r>
    </w:p>
    <w:p w14:paraId="3285A646">
      <w:pPr>
        <w:widowControl/>
        <w:snapToGrid w:val="0"/>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kern w:val="0"/>
          <w:sz w:val="32"/>
          <w:szCs w:val="32"/>
        </w:rPr>
        <w:t>推进湖滨生态绿带建设。</w:t>
      </w:r>
      <w:r>
        <w:rPr>
          <w:rFonts w:hint="eastAsia" w:ascii="宋体" w:hAnsi="宋体" w:eastAsia="宋体" w:cs="宋体"/>
          <w:color w:val="000000" w:themeColor="text1"/>
          <w:sz w:val="32"/>
          <w:szCs w:val="32"/>
        </w:rPr>
        <w:t>优化完善太湖生态防护绿带，在太湖无锡水域沿线建设湿地带，恢复太湖自然岸线。在太湖沿线陆域优先划定太湖生态缓冲带，按生态、城镇、乡村进行分类管控。优化岸线功能，兼顾生态保护性和休闲亲水性，在不影响防洪安全和生态环境保护的前提下，适当增加太湖岸线休闲亲水功能。建设水清岸绿、功能复合的清水绿廊，构建集生态保护、湿地建设、慢行系统、亲水平台等功能于一体的滨水空间。</w:t>
      </w:r>
    </w:p>
    <w:p w14:paraId="312E4222">
      <w:pPr>
        <w:pStyle w:val="3"/>
        <w:numPr>
          <w:ilvl w:val="0"/>
          <w:numId w:val="12"/>
        </w:numPr>
        <w:spacing w:before="156" w:beforeLines="50" w:after="156" w:afterLines="50" w:line="560" w:lineRule="exact"/>
        <w:jc w:val="center"/>
        <w:rPr>
          <w:rFonts w:hint="eastAsia" w:ascii="宋体" w:hAnsi="宋体" w:eastAsia="宋体" w:cs="宋体"/>
          <w:b w:val="0"/>
          <w:bCs w:val="0"/>
          <w:color w:val="000000" w:themeColor="text1"/>
        </w:rPr>
      </w:pPr>
      <w:bookmarkStart w:id="276" w:name="_Toc17390"/>
      <w:bookmarkStart w:id="277" w:name="_Toc176945842"/>
      <w:bookmarkStart w:id="278" w:name="_Toc185189108"/>
      <w:r>
        <w:rPr>
          <w:rFonts w:hint="eastAsia" w:ascii="宋体" w:hAnsi="宋体" w:eastAsia="宋体" w:cs="宋体"/>
          <w:b w:val="0"/>
          <w:bCs w:val="0"/>
          <w:color w:val="000000" w:themeColor="text1"/>
        </w:rPr>
        <w:t>协同推进长三角一体化发展</w:t>
      </w:r>
      <w:bookmarkEnd w:id="276"/>
      <w:bookmarkEnd w:id="277"/>
      <w:bookmarkEnd w:id="278"/>
    </w:p>
    <w:p w14:paraId="73253E5F">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推进跨区域空间协同</w:t>
      </w:r>
    </w:p>
    <w:p w14:paraId="2C49447C">
      <w:pPr>
        <w:pStyle w:val="16"/>
        <w:spacing w:after="0"/>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落实长三角一体化发展战略，抓住国家重大战略叠加机遇，加强与上海市、南京市、杭州市等城市的分工协作，建设协同创新产业体系，推进基础设施互联互通，强化生态环境共保联治，合力构建区域协调发展新格局。</w:t>
      </w:r>
    </w:p>
    <w:p w14:paraId="2D1B91C1">
      <w:pPr>
        <w:widowControl/>
        <w:snapToGrid w:val="0"/>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kern w:val="0"/>
          <w:sz w:val="32"/>
          <w:szCs w:val="32"/>
        </w:rPr>
        <w:t>协同创新产业体系。</w:t>
      </w:r>
      <w:r>
        <w:rPr>
          <w:rFonts w:hint="eastAsia" w:ascii="宋体" w:hAnsi="宋体" w:eastAsia="宋体" w:cs="宋体"/>
          <w:color w:val="000000" w:themeColor="text1"/>
          <w:sz w:val="32"/>
          <w:szCs w:val="32"/>
        </w:rPr>
        <w:t>构建区域创新共同体，与常州市、苏州市共建国际产能合作示范城市，协同推进科技成果转移转化，联合提升基础策源能力。优化战略性新兴产业、先进制造业以及生产性服务业布局，推动先进制造产业向沪宁、宁杭高速沿线集聚，促进产业集约高效发展。</w:t>
      </w:r>
    </w:p>
    <w:p w14:paraId="41DFA3A5">
      <w:pPr>
        <w:widowControl/>
        <w:snapToGrid w:val="0"/>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kern w:val="0"/>
          <w:sz w:val="32"/>
          <w:szCs w:val="32"/>
        </w:rPr>
        <w:t>促进基础设施互联互通。</w:t>
      </w:r>
      <w:r>
        <w:rPr>
          <w:rFonts w:hint="eastAsia" w:ascii="宋体" w:hAnsi="宋体" w:eastAsia="宋体" w:cs="宋体"/>
          <w:color w:val="000000" w:themeColor="text1"/>
          <w:sz w:val="32"/>
          <w:szCs w:val="32"/>
        </w:rPr>
        <w:t>提高无锡硕放机场枢纽能级，合力打造长三角世界级机场群。共建轨道上的长三角，构建以高速铁路、城际铁路和市域（郊）铁路为骨干，普通铁路为补充，多种方式综合支撑的区域城际交通网络。加快发展无锡（江阴）港内河集疏运体系，协同推进港口航道建设。衔接区域重要基础设施走廊布局，完善现代区域防汛保障体系，健全能源保供体系，协调区域应急保障基础设施布局。</w:t>
      </w:r>
    </w:p>
    <w:p w14:paraId="1EC8FEFC">
      <w:pPr>
        <w:widowControl/>
        <w:snapToGrid w:val="0"/>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kern w:val="0"/>
          <w:sz w:val="32"/>
          <w:szCs w:val="32"/>
        </w:rPr>
        <w:t>加快公共服务便利共享。</w:t>
      </w:r>
      <w:r>
        <w:rPr>
          <w:rFonts w:hint="eastAsia" w:ascii="宋体" w:hAnsi="宋体" w:eastAsia="宋体" w:cs="宋体"/>
          <w:color w:val="000000" w:themeColor="text1"/>
          <w:sz w:val="32"/>
          <w:szCs w:val="32"/>
        </w:rPr>
        <w:t>加强与上海市、南京市等城市的对接，推动教育合作，鼓励高等院校及科研院所协同创新，联手打造有影响力的一流大学和一流学科。扩大优质医疗资源覆盖范围，积极采取合作办院、设立分院、组建医联体等形式，推动高端优质医疗卫生资源统筹布局。加强会议、会展合作承办，统筹利用旅游资源，推动跨区域旅游合作，促进旅游市场和服务一体化发展。</w:t>
      </w:r>
    </w:p>
    <w:p w14:paraId="0F570AE7">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主动融入上海大都市圈建设</w:t>
      </w:r>
    </w:p>
    <w:p w14:paraId="641B68E8">
      <w:pPr>
        <w:pStyle w:val="35"/>
        <w:autoSpaceDE w:val="0"/>
        <w:autoSpaceDN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全面对接融入上海大都市圈，主动参与上海全球卓越制造基地和国家科学中心建设，协同推进高水平科技创新平台共建共享，联合提升原始创新能力，共同打造科技创新策源地。强化沪宁产业创新带，加速提升生物医药、信息技术、高端智能装备、新能源等技术成长型集群，共建高端制造业集群。强化大都市圈交通互联互通支撑，促进大都市圈内多层级轨道网络功能融合，深化无锡（江阴）港与上海港、宁波舟山港的合作，共同建设江海联运港区。传承弘扬江南文化和时代精神，强化历史文化资源共同保护与整合利用，培育文化创意产业，建设文化交流和展示平台，共同促进江南文化传承与创新。依托大运河、太湖等打造江南魅力水上游线，共建通江达海、依山畔湖的区域绿道网络和健康骑行网络。</w:t>
      </w:r>
    </w:p>
    <w:p w14:paraId="4478D9C4">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共建环太湖科技创新圈</w:t>
      </w:r>
    </w:p>
    <w:p w14:paraId="374DF17A">
      <w:pPr>
        <w:widowControl/>
        <w:snapToGrid w:val="0"/>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kern w:val="0"/>
          <w:sz w:val="32"/>
          <w:szCs w:val="32"/>
        </w:rPr>
        <w:t>协同推进环太湖地区整体空间保护与利用，以科技创新作为区域发展的核心驱动力，支撑建设生态、创新、魅力、宜居的世界级湖区。发挥无锡市、常州市、苏州市和湖州市等环太湖城市的科技创新与产业链整合优势，为重点科技基础设施的布局提供空间保障，实现重大研发平台和科创空间载体开放共享，建立开放多元的创新链与高效联动的供应链，联合提升区域科技创新策源能力。合力打造综合货运枢纽，助力提升区域航空枢纽能级，加强各级轨道交通的互联互通。促进自然与人文资源跨区域整合，加强历史文化名城群的联动保护，共同推进江南水乡古镇、水利遗产联合申遗与传承利用，塑造高品质环湖风景带，联合举办环太湖文化体育活动，共创江南文化品牌。</w:t>
      </w:r>
    </w:p>
    <w:p w14:paraId="7443EAF1">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支撑苏锡常都市圈一体化</w:t>
      </w:r>
    </w:p>
    <w:p w14:paraId="26B5CFCD">
      <w:pPr>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加强与常州市、苏州市的全方位对接，支撑都市圈空间深度融合。共同维护长江、太湖、大运河、望虞河等重要河湖水系生态安全，支撑通江达湖的生态安全格局建设；协同推进环太湖水环境治理，加强周边山体水源涵养。推动太湖湾科技创新带与苏州市太湖科学城协同联动、拥湖发展，推进高等院校、科研院所全面合作与协同创新，加强产业集聚平台互动合作，共建沪宁产业创新带和环太湖科技创新圈。完善区域综合立体交通网络，共同打造苏锡常都市圈多层次交通一体化发展格局。</w:t>
      </w:r>
    </w:p>
    <w:p w14:paraId="3DB7C040">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加强与周边城市毗邻地区协同发展</w:t>
      </w:r>
    </w:p>
    <w:p w14:paraId="7D3CD4B5">
      <w:pPr>
        <w:pStyle w:val="35"/>
        <w:autoSpaceDE w:val="0"/>
        <w:autoSpaceDN w:val="0"/>
        <w:spacing w:before="0" w:beforeAutospacing="0" w:after="0" w:afterAutospacing="0" w:line="600" w:lineRule="exact"/>
        <w:ind w:firstLine="640" w:firstLineChars="200"/>
        <w:jc w:val="both"/>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推进苏锡常都市圈毗邻地区协同，推动无锡市锡山区与苏州市相城区临界区域共建生态绿色一体化协同发展示范区；推动江阴市与常州市新北区打造澄常融合示范先导区；推动宜兴市、滨湖区与常州市武进区共同打造环湖文旅协同发展区。推进江阴市与常州市、泰州市跨江融合发展，共同实现沿江地区产业转型与布局优化。</w:t>
      </w:r>
    </w:p>
    <w:bookmarkEnd w:id="272"/>
    <w:p w14:paraId="0B561E15">
      <w:pPr>
        <w:rPr>
          <w:rFonts w:hint="eastAsia" w:ascii="宋体" w:hAnsi="宋体" w:eastAsia="宋体" w:cs="宋体"/>
          <w:color w:val="000000" w:themeColor="text1"/>
        </w:rPr>
        <w:sectPr>
          <w:pgSz w:w="11906" w:h="16838"/>
          <w:pgMar w:top="1440" w:right="1800" w:bottom="1440" w:left="1800" w:header="851" w:footer="992" w:gutter="0"/>
          <w:cols w:space="425" w:num="1"/>
          <w:docGrid w:type="lines" w:linePitch="312" w:charSpace="0"/>
        </w:sectPr>
      </w:pPr>
    </w:p>
    <w:p w14:paraId="242F630C">
      <w:pPr>
        <w:pStyle w:val="2"/>
        <w:numPr>
          <w:ilvl w:val="0"/>
          <w:numId w:val="2"/>
        </w:numPr>
        <w:snapToGrid w:val="0"/>
        <w:spacing w:before="0" w:after="156" w:afterLines="50" w:line="500" w:lineRule="exact"/>
        <w:ind w:left="0" w:firstLine="0"/>
        <w:jc w:val="center"/>
        <w:rPr>
          <w:rFonts w:hint="eastAsia" w:ascii="宋体" w:hAnsi="宋体" w:eastAsia="宋体" w:cs="宋体"/>
          <w:b w:val="0"/>
          <w:color w:val="000000" w:themeColor="text1"/>
          <w:sz w:val="36"/>
          <w:szCs w:val="36"/>
        </w:rPr>
      </w:pPr>
      <w:bookmarkStart w:id="279" w:name="_Toc139397199"/>
      <w:bookmarkStart w:id="280" w:name="_Toc176945843"/>
      <w:bookmarkStart w:id="281" w:name="_Toc185189109"/>
      <w:bookmarkStart w:id="282" w:name="_Toc27032"/>
      <w:bookmarkStart w:id="283" w:name="_Toc156410609"/>
      <w:bookmarkStart w:id="284" w:name="_Toc161582280"/>
      <w:bookmarkStart w:id="285" w:name="_Toc3487"/>
      <w:r>
        <w:rPr>
          <w:rFonts w:hint="eastAsia" w:ascii="宋体" w:hAnsi="宋体" w:eastAsia="宋体" w:cs="宋体"/>
          <w:b w:val="0"/>
          <w:color w:val="000000" w:themeColor="text1"/>
          <w:sz w:val="36"/>
          <w:szCs w:val="36"/>
        </w:rPr>
        <w:t>规划实施保障</w:t>
      </w:r>
      <w:bookmarkEnd w:id="279"/>
      <w:bookmarkEnd w:id="280"/>
      <w:bookmarkEnd w:id="281"/>
      <w:bookmarkEnd w:id="282"/>
      <w:bookmarkEnd w:id="283"/>
      <w:bookmarkEnd w:id="284"/>
      <w:bookmarkEnd w:id="285"/>
    </w:p>
    <w:p w14:paraId="088F7A65">
      <w:pPr>
        <w:pStyle w:val="3"/>
        <w:numPr>
          <w:ilvl w:val="0"/>
          <w:numId w:val="13"/>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286" w:name="_Toc174375171"/>
      <w:bookmarkEnd w:id="286"/>
      <w:bookmarkStart w:id="287" w:name="_Toc174375167"/>
      <w:bookmarkEnd w:id="287"/>
      <w:bookmarkStart w:id="288" w:name="_Toc174375005"/>
      <w:bookmarkEnd w:id="288"/>
      <w:bookmarkStart w:id="289" w:name="_Toc174375170"/>
      <w:bookmarkEnd w:id="289"/>
      <w:bookmarkStart w:id="290" w:name="_Toc174375004"/>
      <w:bookmarkEnd w:id="290"/>
      <w:bookmarkStart w:id="291" w:name="_Toc174375001"/>
      <w:bookmarkEnd w:id="291"/>
      <w:bookmarkStart w:id="292" w:name="_Toc185189110"/>
      <w:bookmarkStart w:id="293" w:name="_Toc12870"/>
      <w:bookmarkStart w:id="294" w:name="_Toc176945844"/>
      <w:r>
        <w:rPr>
          <w:rFonts w:hint="eastAsia" w:ascii="宋体" w:hAnsi="宋体" w:eastAsia="宋体" w:cs="宋体"/>
          <w:b w:val="0"/>
          <w:bCs w:val="0"/>
          <w:color w:val="000000" w:themeColor="text1"/>
        </w:rPr>
        <w:t>规划实施传导</w:t>
      </w:r>
      <w:bookmarkEnd w:id="292"/>
      <w:bookmarkEnd w:id="293"/>
      <w:bookmarkEnd w:id="294"/>
    </w:p>
    <w:p w14:paraId="55C05AC2">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构建国土空间规划体系</w:t>
      </w:r>
    </w:p>
    <w:p w14:paraId="23A1FD6D">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以市级国土空间总体规划为统领，建立</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三级三类</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的国土空间规划体系，</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三级</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为市级、县（市、区）级、镇（街道）级，</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三类</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包括总体规划、详细规划和相关专项规划。</w:t>
      </w:r>
    </w:p>
    <w:p w14:paraId="7B74237A">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总体规划</w:t>
      </w:r>
      <w:r>
        <w:rPr>
          <w:rFonts w:hint="eastAsia" w:ascii="宋体" w:hAnsi="宋体" w:eastAsia="宋体" w:cs="宋体"/>
          <w:b/>
          <w:color w:val="000000" w:themeColor="text1"/>
          <w:sz w:val="32"/>
          <w:szCs w:val="32"/>
        </w:rPr>
        <w:t>。</w:t>
      </w:r>
      <w:r>
        <w:rPr>
          <w:rFonts w:hint="eastAsia" w:ascii="宋体" w:hAnsi="宋体" w:eastAsia="宋体" w:cs="宋体"/>
          <w:color w:val="000000" w:themeColor="text1"/>
          <w:sz w:val="32"/>
          <w:szCs w:val="32"/>
        </w:rPr>
        <w:t>总体规划包括无锡市国土空间总体规划，江阴市、宜兴市国土空间总体规划，锡山区、惠山区、滨湖区、新吴区国土空间总体规划和梁溪区分区规划，以及按需编制的镇（街道）国土空间总体规划。</w:t>
      </w:r>
    </w:p>
    <w:p w14:paraId="0E62015A">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详细规划</w:t>
      </w:r>
      <w:r>
        <w:rPr>
          <w:rFonts w:hint="eastAsia" w:ascii="宋体" w:hAnsi="宋体" w:eastAsia="宋体" w:cs="宋体"/>
          <w:b/>
          <w:color w:val="000000" w:themeColor="text1"/>
          <w:sz w:val="32"/>
          <w:szCs w:val="32"/>
        </w:rPr>
        <w:t>。</w:t>
      </w:r>
      <w:r>
        <w:rPr>
          <w:rFonts w:hint="eastAsia" w:ascii="宋体" w:hAnsi="宋体" w:eastAsia="宋体" w:cs="宋体"/>
          <w:color w:val="000000" w:themeColor="text1"/>
          <w:sz w:val="32"/>
          <w:szCs w:val="32"/>
          <w:shd w:val="clear" w:color="auto" w:fill="FFFFFF"/>
        </w:rPr>
        <w:t>详细规划依据已批准的国土空间总体规划进行编制和修改，</w:t>
      </w:r>
      <w:r>
        <w:rPr>
          <w:rFonts w:hint="eastAsia" w:ascii="宋体" w:hAnsi="宋体" w:eastAsia="宋体" w:cs="宋体"/>
          <w:color w:val="000000" w:themeColor="text1"/>
          <w:sz w:val="32"/>
          <w:szCs w:val="32"/>
        </w:rPr>
        <w:t>包括城镇开发边界内详细规划、城镇开发边界外村庄规划及风景名胜区详细规划等类型，对具体地块用途和开发强度等作出实施性安排。</w:t>
      </w:r>
    </w:p>
    <w:p w14:paraId="57A705A1">
      <w:pPr>
        <w:spacing w:line="600" w:lineRule="exact"/>
        <w:ind w:firstLine="643" w:firstLineChars="200"/>
        <w:rPr>
          <w:rFonts w:hint="eastAsia" w:ascii="宋体" w:hAnsi="宋体" w:eastAsia="宋体" w:cs="宋体"/>
          <w:color w:val="000000" w:themeColor="text1"/>
          <w:sz w:val="32"/>
          <w:szCs w:val="32"/>
        </w:rPr>
      </w:pPr>
      <w:r>
        <w:rPr>
          <w:rFonts w:hint="eastAsia" w:ascii="宋体" w:hAnsi="宋体" w:eastAsia="宋体" w:cs="宋体"/>
          <w:b/>
          <w:bCs/>
          <w:color w:val="000000" w:themeColor="text1"/>
          <w:sz w:val="32"/>
          <w:szCs w:val="32"/>
        </w:rPr>
        <w:t>相关专项规划</w:t>
      </w:r>
      <w:r>
        <w:rPr>
          <w:rFonts w:hint="eastAsia" w:ascii="宋体" w:hAnsi="宋体" w:eastAsia="宋体" w:cs="宋体"/>
          <w:b/>
          <w:color w:val="000000" w:themeColor="text1"/>
          <w:sz w:val="32"/>
          <w:szCs w:val="32"/>
        </w:rPr>
        <w:t>。</w:t>
      </w:r>
      <w:r>
        <w:rPr>
          <w:rFonts w:hint="eastAsia" w:ascii="宋体" w:hAnsi="宋体" w:eastAsia="宋体" w:cs="宋体"/>
          <w:color w:val="000000" w:themeColor="text1"/>
          <w:sz w:val="32"/>
          <w:szCs w:val="32"/>
        </w:rPr>
        <w:t>相关专项规划包括特定区域、特定领域，为体现特定功能，对空间开发保护利用作出专门安排的各类空间规划。</w:t>
      </w:r>
    </w:p>
    <w:p w14:paraId="265D3840">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完善规划传导体系</w:t>
      </w:r>
    </w:p>
    <w:p w14:paraId="0BB78B6D">
      <w:pPr>
        <w:spacing w:line="600" w:lineRule="exact"/>
        <w:ind w:firstLine="640" w:firstLineChars="200"/>
        <w:rPr>
          <w:rFonts w:hint="eastAsia" w:ascii="宋体" w:hAnsi="宋体" w:eastAsia="宋体" w:cs="宋体"/>
          <w:b/>
          <w:bCs/>
          <w:color w:val="000000" w:themeColor="text1"/>
          <w:sz w:val="32"/>
          <w:szCs w:val="32"/>
        </w:rPr>
      </w:pPr>
      <w:r>
        <w:rPr>
          <w:rFonts w:hint="eastAsia" w:ascii="宋体" w:hAnsi="宋体" w:eastAsia="宋体" w:cs="宋体"/>
          <w:color w:val="000000" w:themeColor="text1"/>
          <w:sz w:val="32"/>
          <w:szCs w:val="32"/>
        </w:rPr>
        <w:t>加强市级总体规划向下层次总体规划（分区规划）、相关专项规划和详细规划的传导落实，优化规划传导路径，</w:t>
      </w:r>
      <w:r>
        <w:rPr>
          <w:rFonts w:hint="eastAsia" w:ascii="宋体" w:hAnsi="宋体" w:eastAsia="宋体" w:cs="宋体"/>
          <w:color w:val="000000" w:themeColor="text1"/>
          <w:kern w:val="0"/>
          <w:sz w:val="32"/>
          <w:szCs w:val="32"/>
        </w:rPr>
        <w:t>加强约束性指标的层级传导。</w:t>
      </w:r>
    </w:p>
    <w:p w14:paraId="7BEC9551">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加强总体规划向下层次总体规划的传导。县（市、区）级总体规划（分区规划）需落实市级总体规划确定的战略目标、约束性指标、重要控制线和区域协调发展要求，深化中心城区用地布局，明确大型公共服务设施、市政公用设施选址等。</w:t>
      </w:r>
    </w:p>
    <w:p w14:paraId="0277AD96">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加强总体规划向详细规划的传导。详细规划应确保总体规划确定的约束性指标、结构布局和空间底线等传导并落实，并结合具体情况优化落实总体规划确定的公共服务设施、基础设施、综合防灾减灾救灾设施、线性设施走向及城市四线。全域全覆盖划定不同类型的详细规划单元。</w:t>
      </w:r>
    </w:p>
    <w:p w14:paraId="3C1B7801">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加强总体规划向相关专项规划的传导。建立国土空间相关专项规划统筹管理制度，实施全过程管理。相关专项规划应以国土空间总体规划为依据，经批准后纳入国土空间规划“一张图”实施监督信息系统。</w:t>
      </w:r>
    </w:p>
    <w:p w14:paraId="2F20C6A1">
      <w:pPr>
        <w:pStyle w:val="3"/>
        <w:numPr>
          <w:ilvl w:val="0"/>
          <w:numId w:val="13"/>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295" w:name="_Toc176945845"/>
      <w:bookmarkStart w:id="296" w:name="_Toc185189111"/>
      <w:bookmarkStart w:id="297" w:name="_Toc5289"/>
      <w:r>
        <w:rPr>
          <w:rFonts w:hint="eastAsia" w:ascii="宋体" w:hAnsi="宋体" w:eastAsia="宋体" w:cs="宋体"/>
          <w:b w:val="0"/>
          <w:bCs w:val="0"/>
          <w:color w:val="000000" w:themeColor="text1"/>
        </w:rPr>
        <w:t>规划实施监督管理</w:t>
      </w:r>
      <w:bookmarkEnd w:id="295"/>
      <w:bookmarkEnd w:id="296"/>
      <w:bookmarkEnd w:id="297"/>
    </w:p>
    <w:p w14:paraId="521C334A">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坚持国土空间规划引领</w:t>
      </w:r>
    </w:p>
    <w:p w14:paraId="799788E6">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经依法审批后的总体规划和详细规划是开展国土空间开发保护活动、实施国土空间用途管制、核发城乡建设项目规划许可、进行各项建设的法定依据。土地征收成片开发、土地综合整治等应以国土空间规划为依据，实现国土空间布局优化和集约集聚发展。</w:t>
      </w:r>
    </w:p>
    <w:p w14:paraId="766342D4">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健全规划用途管制</w:t>
      </w:r>
    </w:p>
    <w:p w14:paraId="0782E68A">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加强陆地水域、地上地下、城镇乡村空间统筹，建立健全覆盖全域全类型、统一衔接的国土空间用途管制和规划许可制度。全面提高城乡规划、建设、治理融合水平，加快转变城市发展方式，提高国土空间规划实施水平。</w:t>
      </w:r>
    </w:p>
    <w:p w14:paraId="01714D37">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完善国土空间规划</w:t>
      </w:r>
      <w:r>
        <w:rPr>
          <w:rFonts w:hint="eastAsia" w:ascii="宋体" w:hAnsi="宋体" w:eastAsia="宋体" w:cs="宋体"/>
          <w:color w:val="000000" w:themeColor="text1"/>
          <w:sz w:val="32"/>
        </w:rPr>
        <w:t>“</w:t>
      </w:r>
      <w:r>
        <w:rPr>
          <w:rFonts w:hint="eastAsia" w:ascii="宋体" w:hAnsi="宋体" w:eastAsia="宋体" w:cs="宋体"/>
          <w:color w:val="000000" w:themeColor="text1"/>
          <w:sz w:val="32"/>
        </w:rPr>
        <w:t>一张图</w:t>
      </w:r>
      <w:r>
        <w:rPr>
          <w:rFonts w:hint="eastAsia" w:ascii="宋体" w:hAnsi="宋体" w:eastAsia="宋体" w:cs="宋体"/>
          <w:color w:val="000000" w:themeColor="text1"/>
          <w:sz w:val="32"/>
        </w:rPr>
        <w:t>”</w:t>
      </w:r>
      <w:r>
        <w:rPr>
          <w:rFonts w:hint="eastAsia" w:ascii="宋体" w:hAnsi="宋体" w:eastAsia="宋体" w:cs="宋体"/>
          <w:color w:val="000000" w:themeColor="text1"/>
          <w:sz w:val="32"/>
        </w:rPr>
        <w:t>实施监督信息系统</w:t>
      </w:r>
    </w:p>
    <w:p w14:paraId="2FBBDE57">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健全国土空间基础信息平台。以智慧无锡时空大数据平台为基础，推进实景三维无锡建设，搭建统一的地理空间基底和数据融合平台，建立不同部门基础数据及成果数据的共享机制，提升国土空间治理能力现代化水平。依托国土空间基础信息平台，健全国土空间规划</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一张图</w:t>
      </w:r>
      <w:r>
        <w:rPr>
          <w:rFonts w:hint="eastAsia" w:ascii="宋体" w:hAnsi="宋体" w:eastAsia="宋体" w:cs="宋体"/>
          <w:color w:val="000000" w:themeColor="text1"/>
          <w:sz w:val="32"/>
          <w:szCs w:val="32"/>
        </w:rPr>
        <w:t>”</w:t>
      </w:r>
      <w:r>
        <w:rPr>
          <w:rFonts w:hint="eastAsia" w:ascii="宋体" w:hAnsi="宋体" w:eastAsia="宋体" w:cs="宋体"/>
          <w:color w:val="000000" w:themeColor="text1"/>
          <w:sz w:val="32"/>
          <w:szCs w:val="32"/>
        </w:rPr>
        <w:t>实施监督信息系统，实现国土空间规划编制、审批、修改、实施、监督等全过程在线管理。</w:t>
      </w:r>
    </w:p>
    <w:p w14:paraId="0164255F">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完善规划实施评估和动态调整机制</w:t>
      </w:r>
    </w:p>
    <w:p w14:paraId="3C9751A1">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建立国土空间规划动态调整及完善机制，按照定期体检和五年一评估的要求，结合国民经济社会发展规划、国土空间规划实施评估的结果，对本规划进行动态调整完善。加强对重要控制线、重点工程、重点领域等的动态监测，将国土空间规划实施评估结果作为编制、审批、修改规划的重要依据。</w:t>
      </w:r>
    </w:p>
    <w:p w14:paraId="245FE0AD">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健全规划实施管理</w:t>
      </w:r>
    </w:p>
    <w:p w14:paraId="5F631230">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落实各级地方党委和政府在国土空间规划实施中的主体责任，相关职能部门要加强对本行业本领域涉及空间保护利用相关行为的协调和管理，制定和完善国土空间规划落地实施过程中涉及的相关配套政策。各县（市、区）要加强对本辖区内国土空间开发保护利用的管理。严格规划监督，创新监督手段，强化监督信息互通、成果共享。</w:t>
      </w:r>
    </w:p>
    <w:p w14:paraId="0D1412B6">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加强规划行政执法</w:t>
      </w:r>
    </w:p>
    <w:p w14:paraId="56871C20">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强化国土空间规划执行的刚性约束作用，不得违反国土空间规划进行各类开发建设活动，规划一经批复，任何部门和个人不得随意修改、违规变更。对国土空间规划编制和实施过程中的违规违纪违法行为，严肃追究责任。</w:t>
      </w:r>
    </w:p>
    <w:p w14:paraId="298B2D72">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统筹用地空间安排</w:t>
      </w:r>
    </w:p>
    <w:p w14:paraId="6C8C78E3">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加强对国土空间总体规划目标任务的分解落实，结合国民经济社会发展规划、市级年度重点项目安排和财政支出，加强各部门近期实施重点项目的空间保障，指导开展土地征收成片开发、土地收储、土地供应等相关工作。制定重点项目建设安排，合理安排项目建设时序，保障项目落地。健全完善用地保障机制，加大国家和省级重点项目用地保障力度。</w:t>
      </w:r>
    </w:p>
    <w:p w14:paraId="7D7838B3">
      <w:pPr>
        <w:pStyle w:val="3"/>
        <w:numPr>
          <w:ilvl w:val="0"/>
          <w:numId w:val="14"/>
        </w:numPr>
        <w:spacing w:before="156" w:beforeLines="50" w:after="156" w:afterLines="50" w:line="560" w:lineRule="exact"/>
        <w:ind w:left="0" w:firstLine="0"/>
        <w:jc w:val="center"/>
        <w:rPr>
          <w:rFonts w:hint="eastAsia" w:ascii="宋体" w:hAnsi="宋体" w:eastAsia="宋体" w:cs="宋体"/>
          <w:b w:val="0"/>
          <w:bCs w:val="0"/>
          <w:color w:val="000000" w:themeColor="text1"/>
        </w:rPr>
      </w:pPr>
      <w:bookmarkStart w:id="298" w:name="_Toc185189112"/>
      <w:bookmarkStart w:id="299" w:name="_Toc15336"/>
      <w:bookmarkStart w:id="300" w:name="_Toc176945846"/>
      <w:r>
        <w:rPr>
          <w:rFonts w:hint="eastAsia" w:ascii="宋体" w:hAnsi="宋体" w:eastAsia="宋体" w:cs="宋体"/>
          <w:b w:val="0"/>
          <w:bCs w:val="0"/>
          <w:color w:val="000000" w:themeColor="text1"/>
        </w:rPr>
        <w:t>法规政策与技术标准体系</w:t>
      </w:r>
      <w:bookmarkEnd w:id="298"/>
      <w:bookmarkEnd w:id="299"/>
    </w:p>
    <w:p w14:paraId="177CB38B">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健全法律法规和政策体系</w:t>
      </w:r>
    </w:p>
    <w:p w14:paraId="7B2377FF">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落实国土空间规划法律法规和国家、省政策文件要求，结合无锡市实际，探索和健全适应新时期国土空间规划的地方性法规政策体系。推动相关的地方性法规、政府规章的立改废释工作，保障国土空间规划实施。</w:t>
      </w:r>
    </w:p>
    <w:p w14:paraId="22165BE5">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完善规划技术标准体系</w:t>
      </w:r>
    </w:p>
    <w:p w14:paraId="2EF390AE">
      <w:pPr>
        <w:spacing w:line="600" w:lineRule="exact"/>
        <w:ind w:firstLine="640" w:firstLineChars="200"/>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落实国家有关技术标准规范要求，完善各类地方性国土空间规划技术标准，制定相关专项规划管理、详细规划编制等技术规定，加强耕地保护、节约集约用地、生态修复等领域的试点探索。</w:t>
      </w:r>
      <w:bookmarkEnd w:id="300"/>
    </w:p>
    <w:p w14:paraId="26DF8496">
      <w:pPr>
        <w:pStyle w:val="4"/>
        <w:spacing w:before="156" w:beforeLines="50" w:after="156" w:afterLines="50" w:line="600" w:lineRule="exact"/>
        <w:ind w:left="0" w:firstLine="640" w:firstLineChars="200"/>
        <w:rPr>
          <w:rFonts w:hint="eastAsia" w:ascii="宋体" w:hAnsi="宋体" w:eastAsia="宋体" w:cs="宋体"/>
          <w:color w:val="000000" w:themeColor="text1"/>
          <w:sz w:val="32"/>
        </w:rPr>
      </w:pPr>
      <w:r>
        <w:rPr>
          <w:rFonts w:hint="eastAsia" w:ascii="宋体" w:hAnsi="宋体" w:eastAsia="宋体" w:cs="宋体"/>
          <w:color w:val="000000" w:themeColor="text1"/>
          <w:sz w:val="32"/>
        </w:rPr>
        <w:t>加强公众参与</w:t>
      </w:r>
    </w:p>
    <w:p w14:paraId="0E2EB9FE">
      <w:pPr>
        <w:adjustRightInd w:val="0"/>
        <w:snapToGrid w:val="0"/>
        <w:spacing w:line="600" w:lineRule="exact"/>
        <w:ind w:firstLine="640" w:firstLineChars="200"/>
        <w:jc w:val="left"/>
        <w:rPr>
          <w:rFonts w:hint="eastAsia" w:ascii="宋体" w:hAnsi="宋体" w:eastAsia="宋体" w:cs="宋体"/>
          <w:color w:val="000000" w:themeColor="text1"/>
          <w:sz w:val="32"/>
          <w:szCs w:val="32"/>
        </w:rPr>
      </w:pPr>
      <w:r>
        <w:rPr>
          <w:rFonts w:hint="eastAsia" w:ascii="宋体" w:hAnsi="宋体" w:eastAsia="宋体" w:cs="宋体"/>
          <w:color w:val="000000" w:themeColor="text1"/>
          <w:sz w:val="32"/>
          <w:szCs w:val="32"/>
        </w:rPr>
        <w:t>坚持开门编规划，统筹政府、社会、市民三大主体，创新公众参与方式和渠道，充分听取市民、企业、社会团体、专家等各方意见和诉求，引导公众积极为城市发展建言，提升规划的科学性和可实施性。拓宽规划宣传渠道，加大对国土空间规划成果、法律法规和技术标准的宣传力度，提高社会公众对国土空间规划的理解和认识，增强社会公众参与和监督意识，营造规划实施的良好氛围。</w:t>
      </w:r>
    </w:p>
    <w:p w14:paraId="2A430D80">
      <w:pPr>
        <w:pStyle w:val="73"/>
        <w:widowControl/>
        <w:numPr>
          <w:ilvl w:val="255"/>
          <w:numId w:val="0"/>
        </w:numPr>
        <w:snapToGrid w:val="0"/>
        <w:spacing w:line="600" w:lineRule="exact"/>
        <w:ind w:firstLine="420"/>
        <w:rPr>
          <w:rFonts w:hint="eastAsia" w:ascii="宋体" w:hAnsi="宋体" w:eastAsia="宋体" w:cs="宋体"/>
          <w:color w:val="000000" w:themeColor="text1"/>
        </w:rPr>
      </w:pPr>
    </w:p>
    <w:sectPr>
      <w:headerReference r:id="rId9" w:type="default"/>
      <w:footerReference r:id="rId10"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宋体-方正超大字符集">
    <w:altName w:val="宋体"/>
    <w:panose1 w:val="00000000000000000000"/>
    <w:charset w:val="86"/>
    <w:family w:val="script"/>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98D3AD">
    <w:pPr>
      <w:pStyle w:val="23"/>
      <w:jc w:val="center"/>
      <w:rPr>
        <w:rFonts w:ascii="Times New Roman" w:hAnsi="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4704708"/>
    </w:sdtPr>
    <w:sdtEndPr>
      <w:rPr>
        <w:rFonts w:ascii="Times New Roman" w:hAnsi="Times New Roman"/>
      </w:rPr>
    </w:sdtEndPr>
    <w:sdtContent>
      <w:p w14:paraId="1D12A7FC">
        <w:pPr>
          <w:pStyle w:val="23"/>
          <w:jc w:val="center"/>
          <w:rPr>
            <w:rFonts w:ascii="Times New Roman" w:hAnsi="Times New Roman"/>
          </w:rP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VII</w:t>
        </w:r>
        <w:r>
          <w:rPr>
            <w:rFonts w:ascii="Times New Roman" w:hAnsi="Times New Roman"/>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69857767"/>
    </w:sdtPr>
    <w:sdtEndPr>
      <w:rPr>
        <w:rFonts w:ascii="Times New Roman" w:hAnsi="Times New Roman"/>
      </w:rPr>
    </w:sdtEndPr>
    <w:sdtContent>
      <w:p w14:paraId="1C791617">
        <w:pPr>
          <w:pStyle w:val="23"/>
          <w:jc w:val="center"/>
          <w:rPr>
            <w:rFonts w:ascii="Times New Roman" w:hAnsi="Times New Roman"/>
          </w:rP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1</w:t>
        </w:r>
        <w:r>
          <w:rPr>
            <w:rFonts w:ascii="Times New Roman" w:hAnsi="Times New Roman"/>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333449"/>
    </w:sdtPr>
    <w:sdtEndPr>
      <w:rPr>
        <w:rFonts w:ascii="Times New Roman" w:hAnsi="Times New Roman"/>
      </w:rPr>
    </w:sdtEndPr>
    <w:sdtContent>
      <w:p w14:paraId="15C7BC5D">
        <w:pPr>
          <w:pStyle w:val="23"/>
          <w:jc w:val="center"/>
          <w:rPr>
            <w:rFonts w:ascii="Times New Roman" w:hAnsi="Times New Roman"/>
          </w:rP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106</w:t>
        </w:r>
        <w:r>
          <w:rPr>
            <w:rFonts w:ascii="Times New Roman" w:hAnsi="Times New Roman"/>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EB050">
    <w:pPr>
      <w:pStyle w:val="23"/>
      <w:rPr>
        <w:rFonts w:ascii="Times New Roman" w:hAnsi="Times New Roman"/>
        <w:lang w:val="zh-CN"/>
      </w:rPr>
    </w:pPr>
  </w:p>
  <w:sdt>
    <w:sdtPr>
      <w:id w:val="544180416"/>
    </w:sdtPr>
    <w:sdtEndPr>
      <w:rPr>
        <w:rFonts w:ascii="Times New Roman" w:hAnsi="Times New Roman"/>
      </w:rPr>
    </w:sdtEndPr>
    <w:sdtContent>
      <w:p w14:paraId="283C506E">
        <w:pPr>
          <w:pStyle w:val="23"/>
          <w:jc w:val="center"/>
          <w:rPr>
            <w:rFonts w:ascii="Times New Roman" w:hAnsi="Times New Roman"/>
            <w:sz w:val="21"/>
            <w:szCs w:val="21"/>
          </w:rPr>
        </w:pPr>
        <w:r>
          <w:rPr>
            <w:rFonts w:ascii="Times New Roman" w:hAnsi="Times New Roman"/>
          </w:rPr>
          <w:fldChar w:fldCharType="begin"/>
        </w:r>
        <w:r>
          <w:rPr>
            <w:rFonts w:ascii="Times New Roman" w:hAnsi="Times New Roman"/>
          </w:rPr>
          <w:instrText xml:space="preserve">PAGE   \* MERGEFORMAT</w:instrText>
        </w:r>
        <w:r>
          <w:rPr>
            <w:rFonts w:ascii="Times New Roman" w:hAnsi="Times New Roman"/>
          </w:rPr>
          <w:fldChar w:fldCharType="separate"/>
        </w:r>
        <w:r>
          <w:rPr>
            <w:rFonts w:ascii="Times New Roman" w:hAnsi="Times New Roman"/>
            <w:lang w:val="zh-CN"/>
          </w:rPr>
          <w:t>140</w:t>
        </w:r>
        <w:r>
          <w:rPr>
            <w:rFonts w:ascii="Times New Roman" w:hAnsi="Times New Roman"/>
          </w:rPr>
          <w:fldChar w:fldCharType="end"/>
        </w:r>
      </w:p>
    </w:sdtContent>
  </w:sdt>
  <w:p w14:paraId="136D2AEE">
    <w:pPr>
      <w:pStyle w:val="2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9A3CAC">
    <w:pPr>
      <w:pStyle w:val="2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BEB1CC">
    <w:pPr>
      <w:pStyle w:val="24"/>
      <w:pBdr>
        <w:bottom w:val="none" w:color="auto" w:sz="0" w:space="0"/>
      </w:pBdr>
    </w:pPr>
  </w:p>
  <w:p w14:paraId="527F7C54"/>
  <w:p w14:paraId="571CD103"/>
  <w:p w14:paraId="0E737153"/>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57D408">
    <w:pPr>
      <w:pStyle w:val="24"/>
      <w:pBdr>
        <w:bottom w:val="none" w:color="auto" w:sz="0"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A65D64"/>
    <w:multiLevelType w:val="multilevel"/>
    <w:tmpl w:val="10A65D64"/>
    <w:lvl w:ilvl="0" w:tentative="0">
      <w:start w:val="1"/>
      <w:numFmt w:val="japaneseCounting"/>
      <w:lvlText w:val="第%1节"/>
      <w:lvlJc w:val="left"/>
      <w:pPr>
        <w:ind w:left="1648" w:hanging="1080"/>
      </w:p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1">
    <w:nsid w:val="144006E1"/>
    <w:multiLevelType w:val="multilevel"/>
    <w:tmpl w:val="144006E1"/>
    <w:lvl w:ilvl="0" w:tentative="0">
      <w:start w:val="1"/>
      <w:numFmt w:val="japaneseCounting"/>
      <w:lvlText w:val="第%1节"/>
      <w:lvlJc w:val="left"/>
      <w:pPr>
        <w:ind w:left="1648" w:hanging="1080"/>
      </w:p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2">
    <w:nsid w:val="206540C2"/>
    <w:multiLevelType w:val="multilevel"/>
    <w:tmpl w:val="206540C2"/>
    <w:lvl w:ilvl="0" w:tentative="0">
      <w:start w:val="1"/>
      <w:numFmt w:val="japaneseCounting"/>
      <w:lvlText w:val="第%1节"/>
      <w:lvlJc w:val="left"/>
      <w:pPr>
        <w:ind w:left="3915" w:hanging="1080"/>
      </w:p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3">
    <w:nsid w:val="25671EB2"/>
    <w:multiLevelType w:val="multilevel"/>
    <w:tmpl w:val="25671EB2"/>
    <w:lvl w:ilvl="0" w:tentative="0">
      <w:start w:val="1"/>
      <w:numFmt w:val="japaneseCounting"/>
      <w:lvlText w:val="第%1章"/>
      <w:lvlJc w:val="left"/>
      <w:pPr>
        <w:ind w:left="1440" w:hanging="144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B686678"/>
    <w:multiLevelType w:val="multilevel"/>
    <w:tmpl w:val="2B686678"/>
    <w:lvl w:ilvl="0" w:tentative="0">
      <w:start w:val="1"/>
      <w:numFmt w:val="japaneseCounting"/>
      <w:lvlText w:val="第%1节"/>
      <w:lvlJc w:val="left"/>
      <w:pPr>
        <w:ind w:left="1648" w:hanging="1080"/>
      </w:pPr>
      <w:rPr>
        <w:rFonts w:hint="default" w:ascii="Times New Roman" w:hAnsi="Times New Roman" w:cs="Times New Roman"/>
      </w:rPr>
    </w:lvl>
    <w:lvl w:ilvl="1" w:tentative="0">
      <w:start w:val="1"/>
      <w:numFmt w:val="lowerLetter"/>
      <w:lvlText w:val="%2)"/>
      <w:lvlJc w:val="left"/>
      <w:pPr>
        <w:ind w:left="1408" w:hanging="420"/>
      </w:pPr>
      <w:rPr>
        <w:rFonts w:hint="default" w:ascii="Times New Roman" w:hAnsi="Times New Roman" w:cs="Times New Roman"/>
      </w:rPr>
    </w:lvl>
    <w:lvl w:ilvl="2" w:tentative="0">
      <w:start w:val="1"/>
      <w:numFmt w:val="lowerRoman"/>
      <w:lvlText w:val="%3."/>
      <w:lvlJc w:val="right"/>
      <w:pPr>
        <w:ind w:left="1828" w:hanging="420"/>
      </w:pPr>
      <w:rPr>
        <w:rFonts w:hint="default" w:ascii="Times New Roman" w:hAnsi="Times New Roman" w:cs="Times New Roman"/>
      </w:rPr>
    </w:lvl>
    <w:lvl w:ilvl="3" w:tentative="0">
      <w:start w:val="1"/>
      <w:numFmt w:val="decimal"/>
      <w:lvlText w:val="%4."/>
      <w:lvlJc w:val="left"/>
      <w:pPr>
        <w:ind w:left="2248" w:hanging="420"/>
      </w:pPr>
      <w:rPr>
        <w:rFonts w:hint="default" w:ascii="Times New Roman" w:hAnsi="Times New Roman" w:cs="Times New Roman"/>
      </w:rPr>
    </w:lvl>
    <w:lvl w:ilvl="4" w:tentative="0">
      <w:start w:val="1"/>
      <w:numFmt w:val="lowerLetter"/>
      <w:lvlText w:val="%5)"/>
      <w:lvlJc w:val="left"/>
      <w:pPr>
        <w:ind w:left="2668" w:hanging="420"/>
      </w:pPr>
      <w:rPr>
        <w:rFonts w:hint="default" w:ascii="Times New Roman" w:hAnsi="Times New Roman" w:cs="Times New Roman"/>
      </w:rPr>
    </w:lvl>
    <w:lvl w:ilvl="5" w:tentative="0">
      <w:start w:val="1"/>
      <w:numFmt w:val="lowerRoman"/>
      <w:lvlText w:val="%6."/>
      <w:lvlJc w:val="right"/>
      <w:pPr>
        <w:ind w:left="3088" w:hanging="420"/>
      </w:pPr>
      <w:rPr>
        <w:rFonts w:hint="default" w:ascii="Times New Roman" w:hAnsi="Times New Roman" w:cs="Times New Roman"/>
      </w:rPr>
    </w:lvl>
    <w:lvl w:ilvl="6" w:tentative="0">
      <w:start w:val="1"/>
      <w:numFmt w:val="decimal"/>
      <w:lvlText w:val="%7."/>
      <w:lvlJc w:val="left"/>
      <w:pPr>
        <w:ind w:left="3508" w:hanging="420"/>
      </w:pPr>
      <w:rPr>
        <w:rFonts w:hint="default" w:ascii="Times New Roman" w:hAnsi="Times New Roman" w:cs="Times New Roman"/>
      </w:rPr>
    </w:lvl>
    <w:lvl w:ilvl="7" w:tentative="0">
      <w:start w:val="1"/>
      <w:numFmt w:val="lowerLetter"/>
      <w:lvlText w:val="%8)"/>
      <w:lvlJc w:val="left"/>
      <w:pPr>
        <w:ind w:left="3928" w:hanging="420"/>
      </w:pPr>
      <w:rPr>
        <w:rFonts w:hint="default" w:ascii="Times New Roman" w:hAnsi="Times New Roman" w:cs="Times New Roman"/>
      </w:rPr>
    </w:lvl>
    <w:lvl w:ilvl="8" w:tentative="0">
      <w:start w:val="1"/>
      <w:numFmt w:val="lowerRoman"/>
      <w:lvlText w:val="%9."/>
      <w:lvlJc w:val="right"/>
      <w:pPr>
        <w:ind w:left="4348" w:hanging="420"/>
      </w:pPr>
      <w:rPr>
        <w:rFonts w:hint="default" w:ascii="Times New Roman" w:hAnsi="Times New Roman" w:cs="Times New Roman"/>
      </w:rPr>
    </w:lvl>
  </w:abstractNum>
  <w:abstractNum w:abstractNumId="5">
    <w:nsid w:val="2E006A46"/>
    <w:multiLevelType w:val="multilevel"/>
    <w:tmpl w:val="2E006A46"/>
    <w:lvl w:ilvl="0" w:tentative="0">
      <w:start w:val="1"/>
      <w:numFmt w:val="japaneseCounting"/>
      <w:lvlText w:val="第%1节"/>
      <w:lvlJc w:val="left"/>
      <w:pPr>
        <w:ind w:left="3774" w:hanging="1080"/>
      </w:pPr>
    </w:lvl>
    <w:lvl w:ilvl="1" w:tentative="0">
      <w:start w:val="1"/>
      <w:numFmt w:val="lowerLetter"/>
      <w:lvlText w:val="%2)"/>
      <w:lvlJc w:val="left"/>
      <w:pPr>
        <w:ind w:left="3534" w:hanging="420"/>
      </w:pPr>
    </w:lvl>
    <w:lvl w:ilvl="2" w:tentative="0">
      <w:start w:val="1"/>
      <w:numFmt w:val="lowerRoman"/>
      <w:lvlText w:val="%3."/>
      <w:lvlJc w:val="right"/>
      <w:pPr>
        <w:ind w:left="3954" w:hanging="420"/>
      </w:pPr>
    </w:lvl>
    <w:lvl w:ilvl="3" w:tentative="0">
      <w:start w:val="1"/>
      <w:numFmt w:val="decimal"/>
      <w:lvlText w:val="%4."/>
      <w:lvlJc w:val="left"/>
      <w:pPr>
        <w:ind w:left="4374" w:hanging="420"/>
      </w:pPr>
    </w:lvl>
    <w:lvl w:ilvl="4" w:tentative="0">
      <w:start w:val="1"/>
      <w:numFmt w:val="lowerLetter"/>
      <w:lvlText w:val="%5)"/>
      <w:lvlJc w:val="left"/>
      <w:pPr>
        <w:ind w:left="4794" w:hanging="420"/>
      </w:pPr>
    </w:lvl>
    <w:lvl w:ilvl="5" w:tentative="0">
      <w:start w:val="1"/>
      <w:numFmt w:val="lowerRoman"/>
      <w:lvlText w:val="%6."/>
      <w:lvlJc w:val="right"/>
      <w:pPr>
        <w:ind w:left="5214" w:hanging="420"/>
      </w:pPr>
    </w:lvl>
    <w:lvl w:ilvl="6" w:tentative="0">
      <w:start w:val="1"/>
      <w:numFmt w:val="decimal"/>
      <w:lvlText w:val="%7."/>
      <w:lvlJc w:val="left"/>
      <w:pPr>
        <w:ind w:left="5634" w:hanging="420"/>
      </w:pPr>
    </w:lvl>
    <w:lvl w:ilvl="7" w:tentative="0">
      <w:start w:val="1"/>
      <w:numFmt w:val="lowerLetter"/>
      <w:lvlText w:val="%8)"/>
      <w:lvlJc w:val="left"/>
      <w:pPr>
        <w:ind w:left="6054" w:hanging="420"/>
      </w:pPr>
    </w:lvl>
    <w:lvl w:ilvl="8" w:tentative="0">
      <w:start w:val="1"/>
      <w:numFmt w:val="lowerRoman"/>
      <w:lvlText w:val="%9."/>
      <w:lvlJc w:val="right"/>
      <w:pPr>
        <w:ind w:left="6474" w:hanging="420"/>
      </w:pPr>
    </w:lvl>
  </w:abstractNum>
  <w:abstractNum w:abstractNumId="6">
    <w:nsid w:val="2FF177A4"/>
    <w:multiLevelType w:val="multilevel"/>
    <w:tmpl w:val="2FF177A4"/>
    <w:lvl w:ilvl="0" w:tentative="0">
      <w:start w:val="1"/>
      <w:numFmt w:val="japaneseCounting"/>
      <w:lvlText w:val="第%1节"/>
      <w:lvlJc w:val="left"/>
      <w:pPr>
        <w:ind w:left="1648" w:hanging="1080"/>
      </w:p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7">
    <w:nsid w:val="439728BC"/>
    <w:multiLevelType w:val="multilevel"/>
    <w:tmpl w:val="439728BC"/>
    <w:lvl w:ilvl="0" w:tentative="0">
      <w:start w:val="1"/>
      <w:numFmt w:val="japaneseCounting"/>
      <w:lvlText w:val="第%1节"/>
      <w:lvlJc w:val="left"/>
      <w:pPr>
        <w:ind w:left="1648" w:hanging="1080"/>
      </w:p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8">
    <w:nsid w:val="48122956"/>
    <w:multiLevelType w:val="multilevel"/>
    <w:tmpl w:val="48122956"/>
    <w:lvl w:ilvl="0" w:tentative="0">
      <w:start w:val="1"/>
      <w:numFmt w:val="japaneseCounting"/>
      <w:lvlText w:val="第%1节"/>
      <w:lvlJc w:val="left"/>
      <w:pPr>
        <w:ind w:left="1648" w:hanging="1080"/>
      </w:p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9">
    <w:nsid w:val="54C83E5B"/>
    <w:multiLevelType w:val="multilevel"/>
    <w:tmpl w:val="54C83E5B"/>
    <w:lvl w:ilvl="0" w:tentative="0">
      <w:start w:val="1"/>
      <w:numFmt w:val="decimal"/>
      <w:pStyle w:val="4"/>
      <w:lvlText w:val="第%1条"/>
      <w:lvlJc w:val="left"/>
      <w:pPr>
        <w:ind w:left="9356" w:hanging="1134"/>
      </w:pPr>
      <w:rPr>
        <w:rFonts w:hint="default" w:ascii="Times New Roman" w:hAnsi="Times New Roman" w:eastAsia="楷体_GB2312" w:cs="Times New Roman"/>
        <w:lang w:val="en-US"/>
      </w:rPr>
    </w:lvl>
    <w:lvl w:ilvl="1" w:tentative="0">
      <w:start w:val="1"/>
      <w:numFmt w:val="lowerLetter"/>
      <w:lvlText w:val="%2)"/>
      <w:lvlJc w:val="left"/>
      <w:pPr>
        <w:ind w:left="1689" w:hanging="420"/>
      </w:pPr>
    </w:lvl>
    <w:lvl w:ilvl="2" w:tentative="0">
      <w:start w:val="1"/>
      <w:numFmt w:val="lowerRoman"/>
      <w:lvlText w:val="%3."/>
      <w:lvlJc w:val="right"/>
      <w:pPr>
        <w:ind w:left="2109" w:hanging="420"/>
      </w:pPr>
    </w:lvl>
    <w:lvl w:ilvl="3" w:tentative="0">
      <w:start w:val="1"/>
      <w:numFmt w:val="decimal"/>
      <w:lvlText w:val="%4."/>
      <w:lvlJc w:val="left"/>
      <w:pPr>
        <w:ind w:left="2529" w:hanging="420"/>
      </w:pPr>
    </w:lvl>
    <w:lvl w:ilvl="4" w:tentative="0">
      <w:start w:val="1"/>
      <w:numFmt w:val="lowerLetter"/>
      <w:lvlText w:val="%5)"/>
      <w:lvlJc w:val="left"/>
      <w:pPr>
        <w:ind w:left="2949" w:hanging="420"/>
      </w:pPr>
    </w:lvl>
    <w:lvl w:ilvl="5" w:tentative="0">
      <w:start w:val="1"/>
      <w:numFmt w:val="lowerRoman"/>
      <w:lvlText w:val="%6."/>
      <w:lvlJc w:val="right"/>
      <w:pPr>
        <w:ind w:left="3369" w:hanging="420"/>
      </w:pPr>
    </w:lvl>
    <w:lvl w:ilvl="6" w:tentative="0">
      <w:start w:val="1"/>
      <w:numFmt w:val="decimal"/>
      <w:lvlText w:val="%7."/>
      <w:lvlJc w:val="left"/>
      <w:pPr>
        <w:ind w:left="3789" w:hanging="420"/>
      </w:pPr>
    </w:lvl>
    <w:lvl w:ilvl="7" w:tentative="0">
      <w:start w:val="1"/>
      <w:numFmt w:val="lowerLetter"/>
      <w:lvlText w:val="%8)"/>
      <w:lvlJc w:val="left"/>
      <w:pPr>
        <w:ind w:left="4209" w:hanging="420"/>
      </w:pPr>
    </w:lvl>
    <w:lvl w:ilvl="8" w:tentative="0">
      <w:start w:val="1"/>
      <w:numFmt w:val="lowerRoman"/>
      <w:lvlText w:val="%9."/>
      <w:lvlJc w:val="right"/>
      <w:pPr>
        <w:ind w:left="4629" w:hanging="420"/>
      </w:pPr>
    </w:lvl>
  </w:abstractNum>
  <w:abstractNum w:abstractNumId="10">
    <w:nsid w:val="56F2582E"/>
    <w:multiLevelType w:val="multilevel"/>
    <w:tmpl w:val="56F2582E"/>
    <w:lvl w:ilvl="0" w:tentative="0">
      <w:start w:val="1"/>
      <w:numFmt w:val="japaneseCounting"/>
      <w:lvlText w:val="第%1节"/>
      <w:lvlJc w:val="left"/>
      <w:pPr>
        <w:ind w:left="1648" w:hanging="1080"/>
      </w:p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11">
    <w:nsid w:val="69785EF4"/>
    <w:multiLevelType w:val="multilevel"/>
    <w:tmpl w:val="69785EF4"/>
    <w:lvl w:ilvl="0" w:tentative="0">
      <w:start w:val="1"/>
      <w:numFmt w:val="japaneseCounting"/>
      <w:lvlText w:val="第%1节"/>
      <w:lvlJc w:val="left"/>
      <w:pPr>
        <w:ind w:left="1648" w:hanging="1080"/>
      </w:p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12">
    <w:nsid w:val="77D04217"/>
    <w:multiLevelType w:val="multilevel"/>
    <w:tmpl w:val="77D04217"/>
    <w:lvl w:ilvl="0" w:tentative="0">
      <w:start w:val="1"/>
      <w:numFmt w:val="japaneseCounting"/>
      <w:lvlText w:val="第%1节"/>
      <w:lvlJc w:val="left"/>
      <w:pPr>
        <w:ind w:left="1648" w:hanging="1080"/>
      </w:p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num w:numId="1">
    <w:abstractNumId w:val="9"/>
  </w:num>
  <w:num w:numId="2">
    <w:abstractNumId w:val="3"/>
  </w:num>
  <w:num w:numId="3">
    <w:abstractNumId w:val="1"/>
  </w:num>
  <w:num w:numId="4">
    <w:abstractNumId w:val="10"/>
  </w:num>
  <w:num w:numId="5">
    <w:abstractNumId w:val="0"/>
  </w:num>
  <w:num w:numId="6">
    <w:abstractNumId w:val="12"/>
  </w:num>
  <w:num w:numId="7">
    <w:abstractNumId w:val="2"/>
  </w:num>
  <w:num w:numId="8">
    <w:abstractNumId w:val="5"/>
  </w:num>
  <w:num w:numId="9">
    <w:abstractNumId w:val="11"/>
  </w:num>
  <w:num w:numId="10">
    <w:abstractNumId w:val="8"/>
  </w:num>
  <w:num w:numId="11">
    <w:abstractNumId w:val="7"/>
  </w:num>
  <w:num w:numId="12">
    <w:abstractNumId w:val="6"/>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hideSpelling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llMjExYzgwYjkwMTExN2ZlMDZjMmRlOGVlMTExOGEifQ=="/>
  </w:docVars>
  <w:rsids>
    <w:rsidRoot w:val="002D3F1B"/>
    <w:rsid w:val="00001710"/>
    <w:rsid w:val="00002504"/>
    <w:rsid w:val="00002574"/>
    <w:rsid w:val="0000348F"/>
    <w:rsid w:val="00003EAC"/>
    <w:rsid w:val="00005270"/>
    <w:rsid w:val="000056F2"/>
    <w:rsid w:val="000060AF"/>
    <w:rsid w:val="00006AC4"/>
    <w:rsid w:val="00006ACA"/>
    <w:rsid w:val="00014EF4"/>
    <w:rsid w:val="0001511B"/>
    <w:rsid w:val="00015F9B"/>
    <w:rsid w:val="000166D8"/>
    <w:rsid w:val="00020A20"/>
    <w:rsid w:val="00020DC9"/>
    <w:rsid w:val="000212E9"/>
    <w:rsid w:val="000216D5"/>
    <w:rsid w:val="0002179A"/>
    <w:rsid w:val="00023198"/>
    <w:rsid w:val="000248E3"/>
    <w:rsid w:val="00024904"/>
    <w:rsid w:val="000260C2"/>
    <w:rsid w:val="00026855"/>
    <w:rsid w:val="0002717D"/>
    <w:rsid w:val="000303DF"/>
    <w:rsid w:val="00030BEB"/>
    <w:rsid w:val="00030E54"/>
    <w:rsid w:val="000313C6"/>
    <w:rsid w:val="000322EC"/>
    <w:rsid w:val="000329D2"/>
    <w:rsid w:val="00032C23"/>
    <w:rsid w:val="00032F0F"/>
    <w:rsid w:val="00033A48"/>
    <w:rsid w:val="00033E7F"/>
    <w:rsid w:val="00035E8C"/>
    <w:rsid w:val="0003606A"/>
    <w:rsid w:val="00037BA5"/>
    <w:rsid w:val="000411C6"/>
    <w:rsid w:val="00041212"/>
    <w:rsid w:val="00041BFA"/>
    <w:rsid w:val="00043242"/>
    <w:rsid w:val="00043E43"/>
    <w:rsid w:val="00044929"/>
    <w:rsid w:val="00051BC1"/>
    <w:rsid w:val="000520AA"/>
    <w:rsid w:val="000526CB"/>
    <w:rsid w:val="00053A53"/>
    <w:rsid w:val="00054288"/>
    <w:rsid w:val="000551FE"/>
    <w:rsid w:val="000562AA"/>
    <w:rsid w:val="00056986"/>
    <w:rsid w:val="0006044B"/>
    <w:rsid w:val="0006095C"/>
    <w:rsid w:val="000611D0"/>
    <w:rsid w:val="00062AC9"/>
    <w:rsid w:val="00062D7E"/>
    <w:rsid w:val="0006458C"/>
    <w:rsid w:val="00064C7A"/>
    <w:rsid w:val="00066033"/>
    <w:rsid w:val="000672F4"/>
    <w:rsid w:val="00070105"/>
    <w:rsid w:val="00070EBF"/>
    <w:rsid w:val="0007176B"/>
    <w:rsid w:val="0007202F"/>
    <w:rsid w:val="00072685"/>
    <w:rsid w:val="00072F80"/>
    <w:rsid w:val="00073776"/>
    <w:rsid w:val="000766D7"/>
    <w:rsid w:val="00077FAE"/>
    <w:rsid w:val="00081274"/>
    <w:rsid w:val="00082563"/>
    <w:rsid w:val="00082BDC"/>
    <w:rsid w:val="00082CE6"/>
    <w:rsid w:val="000830CF"/>
    <w:rsid w:val="00084B4E"/>
    <w:rsid w:val="00084E9C"/>
    <w:rsid w:val="00084F99"/>
    <w:rsid w:val="00085D2B"/>
    <w:rsid w:val="00086736"/>
    <w:rsid w:val="00090595"/>
    <w:rsid w:val="00090F6B"/>
    <w:rsid w:val="00091663"/>
    <w:rsid w:val="00092C8D"/>
    <w:rsid w:val="0009344A"/>
    <w:rsid w:val="00095B63"/>
    <w:rsid w:val="000963E4"/>
    <w:rsid w:val="00097659"/>
    <w:rsid w:val="000A006E"/>
    <w:rsid w:val="000A216E"/>
    <w:rsid w:val="000A451C"/>
    <w:rsid w:val="000A4AC3"/>
    <w:rsid w:val="000A5A29"/>
    <w:rsid w:val="000A7AC7"/>
    <w:rsid w:val="000B03A0"/>
    <w:rsid w:val="000B0656"/>
    <w:rsid w:val="000B1033"/>
    <w:rsid w:val="000B10EC"/>
    <w:rsid w:val="000B1FC2"/>
    <w:rsid w:val="000B2E1D"/>
    <w:rsid w:val="000B30DB"/>
    <w:rsid w:val="000B4B4E"/>
    <w:rsid w:val="000B5D62"/>
    <w:rsid w:val="000B7717"/>
    <w:rsid w:val="000B7970"/>
    <w:rsid w:val="000C2018"/>
    <w:rsid w:val="000C238B"/>
    <w:rsid w:val="000C3D22"/>
    <w:rsid w:val="000C51C8"/>
    <w:rsid w:val="000C52D3"/>
    <w:rsid w:val="000C64AD"/>
    <w:rsid w:val="000C676C"/>
    <w:rsid w:val="000D158B"/>
    <w:rsid w:val="000D3FE0"/>
    <w:rsid w:val="000D6070"/>
    <w:rsid w:val="000D6BE7"/>
    <w:rsid w:val="000D7D01"/>
    <w:rsid w:val="000E1EC2"/>
    <w:rsid w:val="000E2D90"/>
    <w:rsid w:val="000E57FA"/>
    <w:rsid w:val="000E5830"/>
    <w:rsid w:val="000E7DAE"/>
    <w:rsid w:val="000E7E14"/>
    <w:rsid w:val="000F0CAA"/>
    <w:rsid w:val="000F1876"/>
    <w:rsid w:val="000F19D7"/>
    <w:rsid w:val="000F1C92"/>
    <w:rsid w:val="000F2A7C"/>
    <w:rsid w:val="000F3CD6"/>
    <w:rsid w:val="000F4C5A"/>
    <w:rsid w:val="000F5B87"/>
    <w:rsid w:val="000F6E9D"/>
    <w:rsid w:val="0010146D"/>
    <w:rsid w:val="00101619"/>
    <w:rsid w:val="00101B46"/>
    <w:rsid w:val="00101D72"/>
    <w:rsid w:val="001023FF"/>
    <w:rsid w:val="00103784"/>
    <w:rsid w:val="00104018"/>
    <w:rsid w:val="00104102"/>
    <w:rsid w:val="00104235"/>
    <w:rsid w:val="0010456A"/>
    <w:rsid w:val="00104EB6"/>
    <w:rsid w:val="00105DE7"/>
    <w:rsid w:val="00106EF6"/>
    <w:rsid w:val="00111000"/>
    <w:rsid w:val="00111A09"/>
    <w:rsid w:val="00112C9B"/>
    <w:rsid w:val="00113432"/>
    <w:rsid w:val="00113672"/>
    <w:rsid w:val="00113872"/>
    <w:rsid w:val="00114AF6"/>
    <w:rsid w:val="00114BE8"/>
    <w:rsid w:val="00117B84"/>
    <w:rsid w:val="001210DD"/>
    <w:rsid w:val="0012229C"/>
    <w:rsid w:val="00123732"/>
    <w:rsid w:val="00125082"/>
    <w:rsid w:val="00125109"/>
    <w:rsid w:val="00126D73"/>
    <w:rsid w:val="0012706F"/>
    <w:rsid w:val="00130171"/>
    <w:rsid w:val="0013065F"/>
    <w:rsid w:val="001313BC"/>
    <w:rsid w:val="00131A50"/>
    <w:rsid w:val="001356F6"/>
    <w:rsid w:val="00135CDD"/>
    <w:rsid w:val="001364B7"/>
    <w:rsid w:val="00141215"/>
    <w:rsid w:val="0014167A"/>
    <w:rsid w:val="001418E9"/>
    <w:rsid w:val="00141B49"/>
    <w:rsid w:val="0014520C"/>
    <w:rsid w:val="00147984"/>
    <w:rsid w:val="00150698"/>
    <w:rsid w:val="001559A5"/>
    <w:rsid w:val="00156039"/>
    <w:rsid w:val="0016048A"/>
    <w:rsid w:val="00162A1C"/>
    <w:rsid w:val="00162A75"/>
    <w:rsid w:val="00164EF8"/>
    <w:rsid w:val="0016554A"/>
    <w:rsid w:val="001658B0"/>
    <w:rsid w:val="00167640"/>
    <w:rsid w:val="00167656"/>
    <w:rsid w:val="00170B54"/>
    <w:rsid w:val="00170F8F"/>
    <w:rsid w:val="0017177E"/>
    <w:rsid w:val="00171E0B"/>
    <w:rsid w:val="00172439"/>
    <w:rsid w:val="00172945"/>
    <w:rsid w:val="00172E7E"/>
    <w:rsid w:val="001731FC"/>
    <w:rsid w:val="00173FF3"/>
    <w:rsid w:val="00174089"/>
    <w:rsid w:val="00174298"/>
    <w:rsid w:val="001746A3"/>
    <w:rsid w:val="00174A53"/>
    <w:rsid w:val="001750A1"/>
    <w:rsid w:val="00175156"/>
    <w:rsid w:val="001758BE"/>
    <w:rsid w:val="00181C18"/>
    <w:rsid w:val="0018222A"/>
    <w:rsid w:val="00182C1F"/>
    <w:rsid w:val="00182D20"/>
    <w:rsid w:val="00184F06"/>
    <w:rsid w:val="00185C22"/>
    <w:rsid w:val="00187560"/>
    <w:rsid w:val="00190B2F"/>
    <w:rsid w:val="00197A1D"/>
    <w:rsid w:val="001A02C4"/>
    <w:rsid w:val="001A186F"/>
    <w:rsid w:val="001A2318"/>
    <w:rsid w:val="001A28EC"/>
    <w:rsid w:val="001A4470"/>
    <w:rsid w:val="001A47F5"/>
    <w:rsid w:val="001A5A7F"/>
    <w:rsid w:val="001A6312"/>
    <w:rsid w:val="001A75E7"/>
    <w:rsid w:val="001A77B6"/>
    <w:rsid w:val="001B003C"/>
    <w:rsid w:val="001B0F00"/>
    <w:rsid w:val="001B15E2"/>
    <w:rsid w:val="001B45A2"/>
    <w:rsid w:val="001C05D1"/>
    <w:rsid w:val="001C15A4"/>
    <w:rsid w:val="001C3503"/>
    <w:rsid w:val="001C4179"/>
    <w:rsid w:val="001C4A12"/>
    <w:rsid w:val="001C4E24"/>
    <w:rsid w:val="001C4E83"/>
    <w:rsid w:val="001C5518"/>
    <w:rsid w:val="001C610F"/>
    <w:rsid w:val="001C61C1"/>
    <w:rsid w:val="001C63B6"/>
    <w:rsid w:val="001C6A13"/>
    <w:rsid w:val="001C6BCF"/>
    <w:rsid w:val="001C6F88"/>
    <w:rsid w:val="001C7F89"/>
    <w:rsid w:val="001D0C1D"/>
    <w:rsid w:val="001D20D1"/>
    <w:rsid w:val="001D2344"/>
    <w:rsid w:val="001D2492"/>
    <w:rsid w:val="001D2A76"/>
    <w:rsid w:val="001D2E22"/>
    <w:rsid w:val="001D38A3"/>
    <w:rsid w:val="001D4E33"/>
    <w:rsid w:val="001D58F9"/>
    <w:rsid w:val="001D59E2"/>
    <w:rsid w:val="001D5A1A"/>
    <w:rsid w:val="001D5D47"/>
    <w:rsid w:val="001D7350"/>
    <w:rsid w:val="001D7A0F"/>
    <w:rsid w:val="001E02C1"/>
    <w:rsid w:val="001E05E2"/>
    <w:rsid w:val="001E0B17"/>
    <w:rsid w:val="001E2C98"/>
    <w:rsid w:val="001E4B11"/>
    <w:rsid w:val="001E5172"/>
    <w:rsid w:val="001E6318"/>
    <w:rsid w:val="001E6C36"/>
    <w:rsid w:val="001F01B1"/>
    <w:rsid w:val="001F028F"/>
    <w:rsid w:val="001F03C3"/>
    <w:rsid w:val="001F2141"/>
    <w:rsid w:val="001F260A"/>
    <w:rsid w:val="001F3575"/>
    <w:rsid w:val="001F37AE"/>
    <w:rsid w:val="001F383D"/>
    <w:rsid w:val="001F4278"/>
    <w:rsid w:val="001F4E5F"/>
    <w:rsid w:val="001F610D"/>
    <w:rsid w:val="00200761"/>
    <w:rsid w:val="00206983"/>
    <w:rsid w:val="002103D9"/>
    <w:rsid w:val="0021058B"/>
    <w:rsid w:val="0021130B"/>
    <w:rsid w:val="00212638"/>
    <w:rsid w:val="00212A4C"/>
    <w:rsid w:val="0021344C"/>
    <w:rsid w:val="0021602B"/>
    <w:rsid w:val="00216463"/>
    <w:rsid w:val="00216468"/>
    <w:rsid w:val="00216681"/>
    <w:rsid w:val="00216A1C"/>
    <w:rsid w:val="00221D76"/>
    <w:rsid w:val="002233EE"/>
    <w:rsid w:val="002237A7"/>
    <w:rsid w:val="00223FD4"/>
    <w:rsid w:val="00224BB0"/>
    <w:rsid w:val="00225ECA"/>
    <w:rsid w:val="00226712"/>
    <w:rsid w:val="00231472"/>
    <w:rsid w:val="0023172F"/>
    <w:rsid w:val="00231F50"/>
    <w:rsid w:val="0023200A"/>
    <w:rsid w:val="00234633"/>
    <w:rsid w:val="00234730"/>
    <w:rsid w:val="002360BF"/>
    <w:rsid w:val="002361A9"/>
    <w:rsid w:val="00236EE1"/>
    <w:rsid w:val="00240382"/>
    <w:rsid w:val="00240739"/>
    <w:rsid w:val="00240C9D"/>
    <w:rsid w:val="00240CC7"/>
    <w:rsid w:val="00241619"/>
    <w:rsid w:val="002419D5"/>
    <w:rsid w:val="00242253"/>
    <w:rsid w:val="002423BD"/>
    <w:rsid w:val="00244CAC"/>
    <w:rsid w:val="002458A5"/>
    <w:rsid w:val="00245DF2"/>
    <w:rsid w:val="0024619C"/>
    <w:rsid w:val="00247B90"/>
    <w:rsid w:val="00247EDC"/>
    <w:rsid w:val="00250D61"/>
    <w:rsid w:val="0025399F"/>
    <w:rsid w:val="0025428B"/>
    <w:rsid w:val="00255835"/>
    <w:rsid w:val="0025673B"/>
    <w:rsid w:val="002601FE"/>
    <w:rsid w:val="00261173"/>
    <w:rsid w:val="002611DB"/>
    <w:rsid w:val="002617FA"/>
    <w:rsid w:val="00261A36"/>
    <w:rsid w:val="00261B97"/>
    <w:rsid w:val="002644D6"/>
    <w:rsid w:val="00264D08"/>
    <w:rsid w:val="002650BE"/>
    <w:rsid w:val="00265E1F"/>
    <w:rsid w:val="002676AC"/>
    <w:rsid w:val="00270D9D"/>
    <w:rsid w:val="002728F7"/>
    <w:rsid w:val="00274095"/>
    <w:rsid w:val="00274DD0"/>
    <w:rsid w:val="00274E59"/>
    <w:rsid w:val="00274EE2"/>
    <w:rsid w:val="00275E7D"/>
    <w:rsid w:val="002760F9"/>
    <w:rsid w:val="00276CD7"/>
    <w:rsid w:val="0028050C"/>
    <w:rsid w:val="00280B18"/>
    <w:rsid w:val="00280C10"/>
    <w:rsid w:val="0028117A"/>
    <w:rsid w:val="002813CB"/>
    <w:rsid w:val="00281B9E"/>
    <w:rsid w:val="002824EB"/>
    <w:rsid w:val="00282B6E"/>
    <w:rsid w:val="002837A9"/>
    <w:rsid w:val="00283DF8"/>
    <w:rsid w:val="002865D5"/>
    <w:rsid w:val="002865D6"/>
    <w:rsid w:val="0028747B"/>
    <w:rsid w:val="00290B48"/>
    <w:rsid w:val="00291E01"/>
    <w:rsid w:val="0029280B"/>
    <w:rsid w:val="0029324A"/>
    <w:rsid w:val="0029410F"/>
    <w:rsid w:val="002959BC"/>
    <w:rsid w:val="00296119"/>
    <w:rsid w:val="002968D9"/>
    <w:rsid w:val="00297050"/>
    <w:rsid w:val="002A0865"/>
    <w:rsid w:val="002A0C96"/>
    <w:rsid w:val="002A1958"/>
    <w:rsid w:val="002A1A4B"/>
    <w:rsid w:val="002A2086"/>
    <w:rsid w:val="002A2874"/>
    <w:rsid w:val="002A2A34"/>
    <w:rsid w:val="002A3B42"/>
    <w:rsid w:val="002A3DB0"/>
    <w:rsid w:val="002A414F"/>
    <w:rsid w:val="002A46F5"/>
    <w:rsid w:val="002A5811"/>
    <w:rsid w:val="002A617B"/>
    <w:rsid w:val="002A6548"/>
    <w:rsid w:val="002A75C7"/>
    <w:rsid w:val="002B050C"/>
    <w:rsid w:val="002B0947"/>
    <w:rsid w:val="002B1FDF"/>
    <w:rsid w:val="002B551C"/>
    <w:rsid w:val="002B5583"/>
    <w:rsid w:val="002B56D9"/>
    <w:rsid w:val="002B6192"/>
    <w:rsid w:val="002B6A4A"/>
    <w:rsid w:val="002B6BBA"/>
    <w:rsid w:val="002B7283"/>
    <w:rsid w:val="002C24DF"/>
    <w:rsid w:val="002C2976"/>
    <w:rsid w:val="002C2D68"/>
    <w:rsid w:val="002C34CD"/>
    <w:rsid w:val="002C3EC5"/>
    <w:rsid w:val="002C4E43"/>
    <w:rsid w:val="002C55D7"/>
    <w:rsid w:val="002C62C2"/>
    <w:rsid w:val="002C73C9"/>
    <w:rsid w:val="002D0394"/>
    <w:rsid w:val="002D1C7A"/>
    <w:rsid w:val="002D2398"/>
    <w:rsid w:val="002D269B"/>
    <w:rsid w:val="002D2C35"/>
    <w:rsid w:val="002D3F1B"/>
    <w:rsid w:val="002D4979"/>
    <w:rsid w:val="002D5544"/>
    <w:rsid w:val="002E17EB"/>
    <w:rsid w:val="002E3317"/>
    <w:rsid w:val="002E339C"/>
    <w:rsid w:val="002E479D"/>
    <w:rsid w:val="002E5478"/>
    <w:rsid w:val="002E62B7"/>
    <w:rsid w:val="002E6883"/>
    <w:rsid w:val="002E690B"/>
    <w:rsid w:val="002E6F1F"/>
    <w:rsid w:val="002F0D0A"/>
    <w:rsid w:val="002F1710"/>
    <w:rsid w:val="002F1A98"/>
    <w:rsid w:val="002F2A54"/>
    <w:rsid w:val="002F3100"/>
    <w:rsid w:val="002F3147"/>
    <w:rsid w:val="002F33CA"/>
    <w:rsid w:val="002F38FF"/>
    <w:rsid w:val="002F410A"/>
    <w:rsid w:val="002F46E4"/>
    <w:rsid w:val="002F5852"/>
    <w:rsid w:val="002F589E"/>
    <w:rsid w:val="002F6C56"/>
    <w:rsid w:val="002F6E5E"/>
    <w:rsid w:val="002F6FBE"/>
    <w:rsid w:val="00300A16"/>
    <w:rsid w:val="00300F15"/>
    <w:rsid w:val="003013C8"/>
    <w:rsid w:val="00302678"/>
    <w:rsid w:val="00302684"/>
    <w:rsid w:val="00302C6E"/>
    <w:rsid w:val="00303183"/>
    <w:rsid w:val="00304C25"/>
    <w:rsid w:val="00305336"/>
    <w:rsid w:val="003054D2"/>
    <w:rsid w:val="003073FD"/>
    <w:rsid w:val="00310732"/>
    <w:rsid w:val="0031182E"/>
    <w:rsid w:val="00311AC7"/>
    <w:rsid w:val="00312349"/>
    <w:rsid w:val="003125F6"/>
    <w:rsid w:val="003129AB"/>
    <w:rsid w:val="00313B1D"/>
    <w:rsid w:val="00314501"/>
    <w:rsid w:val="003146A2"/>
    <w:rsid w:val="003146F5"/>
    <w:rsid w:val="003157D5"/>
    <w:rsid w:val="00315BD4"/>
    <w:rsid w:val="00316F60"/>
    <w:rsid w:val="00317C87"/>
    <w:rsid w:val="003205F6"/>
    <w:rsid w:val="00320AAF"/>
    <w:rsid w:val="003210D3"/>
    <w:rsid w:val="00321418"/>
    <w:rsid w:val="003227B1"/>
    <w:rsid w:val="00322A22"/>
    <w:rsid w:val="00322A6B"/>
    <w:rsid w:val="003230A3"/>
    <w:rsid w:val="003231F0"/>
    <w:rsid w:val="00323845"/>
    <w:rsid w:val="003246DB"/>
    <w:rsid w:val="0032763F"/>
    <w:rsid w:val="0032769E"/>
    <w:rsid w:val="003318A5"/>
    <w:rsid w:val="00332C64"/>
    <w:rsid w:val="003344CC"/>
    <w:rsid w:val="003358D8"/>
    <w:rsid w:val="00335A4D"/>
    <w:rsid w:val="00337364"/>
    <w:rsid w:val="00337C7E"/>
    <w:rsid w:val="003401A9"/>
    <w:rsid w:val="003407E1"/>
    <w:rsid w:val="00340E8C"/>
    <w:rsid w:val="00342617"/>
    <w:rsid w:val="00343B98"/>
    <w:rsid w:val="00344A53"/>
    <w:rsid w:val="00345FB2"/>
    <w:rsid w:val="0034629E"/>
    <w:rsid w:val="003465DB"/>
    <w:rsid w:val="003465EA"/>
    <w:rsid w:val="00346CCE"/>
    <w:rsid w:val="00350AAD"/>
    <w:rsid w:val="00351C5D"/>
    <w:rsid w:val="00352459"/>
    <w:rsid w:val="00352C90"/>
    <w:rsid w:val="00352DBC"/>
    <w:rsid w:val="00353744"/>
    <w:rsid w:val="003547D8"/>
    <w:rsid w:val="00356328"/>
    <w:rsid w:val="003572D5"/>
    <w:rsid w:val="00357A6F"/>
    <w:rsid w:val="003600D6"/>
    <w:rsid w:val="00360BBA"/>
    <w:rsid w:val="00363442"/>
    <w:rsid w:val="0036473D"/>
    <w:rsid w:val="003652FD"/>
    <w:rsid w:val="00365A1F"/>
    <w:rsid w:val="00365CE7"/>
    <w:rsid w:val="00367081"/>
    <w:rsid w:val="00367E59"/>
    <w:rsid w:val="0037009B"/>
    <w:rsid w:val="00370402"/>
    <w:rsid w:val="00370A0C"/>
    <w:rsid w:val="00371F52"/>
    <w:rsid w:val="00372DF0"/>
    <w:rsid w:val="00375118"/>
    <w:rsid w:val="00377EC4"/>
    <w:rsid w:val="003809FB"/>
    <w:rsid w:val="003821B8"/>
    <w:rsid w:val="003824B2"/>
    <w:rsid w:val="00382FB7"/>
    <w:rsid w:val="00383D48"/>
    <w:rsid w:val="00383F3B"/>
    <w:rsid w:val="00384104"/>
    <w:rsid w:val="00384341"/>
    <w:rsid w:val="003844A4"/>
    <w:rsid w:val="00385DDA"/>
    <w:rsid w:val="00385E5E"/>
    <w:rsid w:val="0038624C"/>
    <w:rsid w:val="00386678"/>
    <w:rsid w:val="003872C0"/>
    <w:rsid w:val="00387FD0"/>
    <w:rsid w:val="00387FD3"/>
    <w:rsid w:val="00390421"/>
    <w:rsid w:val="0039063E"/>
    <w:rsid w:val="00390D30"/>
    <w:rsid w:val="00390EFF"/>
    <w:rsid w:val="00395271"/>
    <w:rsid w:val="00395783"/>
    <w:rsid w:val="00396D36"/>
    <w:rsid w:val="00397F1F"/>
    <w:rsid w:val="003A04C7"/>
    <w:rsid w:val="003A0A5B"/>
    <w:rsid w:val="003A0C6C"/>
    <w:rsid w:val="003A341C"/>
    <w:rsid w:val="003A393B"/>
    <w:rsid w:val="003A3BAD"/>
    <w:rsid w:val="003A4418"/>
    <w:rsid w:val="003A5469"/>
    <w:rsid w:val="003A5FF2"/>
    <w:rsid w:val="003A6201"/>
    <w:rsid w:val="003A68F2"/>
    <w:rsid w:val="003A6C35"/>
    <w:rsid w:val="003A6C98"/>
    <w:rsid w:val="003A703B"/>
    <w:rsid w:val="003A74A6"/>
    <w:rsid w:val="003A7792"/>
    <w:rsid w:val="003A7F82"/>
    <w:rsid w:val="003B0202"/>
    <w:rsid w:val="003B38EF"/>
    <w:rsid w:val="003B4C86"/>
    <w:rsid w:val="003B5A57"/>
    <w:rsid w:val="003B7975"/>
    <w:rsid w:val="003C071F"/>
    <w:rsid w:val="003C1229"/>
    <w:rsid w:val="003C26C2"/>
    <w:rsid w:val="003C31C2"/>
    <w:rsid w:val="003C446D"/>
    <w:rsid w:val="003C4610"/>
    <w:rsid w:val="003C5A3B"/>
    <w:rsid w:val="003C62B0"/>
    <w:rsid w:val="003C764B"/>
    <w:rsid w:val="003D0C68"/>
    <w:rsid w:val="003D1A10"/>
    <w:rsid w:val="003D1B46"/>
    <w:rsid w:val="003D1F57"/>
    <w:rsid w:val="003D265F"/>
    <w:rsid w:val="003D2CAD"/>
    <w:rsid w:val="003D4FD8"/>
    <w:rsid w:val="003D5DD5"/>
    <w:rsid w:val="003D60E4"/>
    <w:rsid w:val="003D73E3"/>
    <w:rsid w:val="003E0911"/>
    <w:rsid w:val="003E140C"/>
    <w:rsid w:val="003E143B"/>
    <w:rsid w:val="003E1535"/>
    <w:rsid w:val="003E2D21"/>
    <w:rsid w:val="003F5ADB"/>
    <w:rsid w:val="003F628A"/>
    <w:rsid w:val="003F638E"/>
    <w:rsid w:val="003F6B44"/>
    <w:rsid w:val="003F7E52"/>
    <w:rsid w:val="004011E7"/>
    <w:rsid w:val="004032ED"/>
    <w:rsid w:val="004037B0"/>
    <w:rsid w:val="00405623"/>
    <w:rsid w:val="0041053E"/>
    <w:rsid w:val="00411AFA"/>
    <w:rsid w:val="004128AB"/>
    <w:rsid w:val="0041294C"/>
    <w:rsid w:val="00413568"/>
    <w:rsid w:val="00414EC9"/>
    <w:rsid w:val="00416519"/>
    <w:rsid w:val="00417A13"/>
    <w:rsid w:val="00421A50"/>
    <w:rsid w:val="004232DD"/>
    <w:rsid w:val="00423AAF"/>
    <w:rsid w:val="00423B54"/>
    <w:rsid w:val="004247C9"/>
    <w:rsid w:val="00424B0D"/>
    <w:rsid w:val="00427E86"/>
    <w:rsid w:val="004304D8"/>
    <w:rsid w:val="00430FC0"/>
    <w:rsid w:val="00434860"/>
    <w:rsid w:val="00434B62"/>
    <w:rsid w:val="004356A4"/>
    <w:rsid w:val="00435B0F"/>
    <w:rsid w:val="00436A9F"/>
    <w:rsid w:val="004374EA"/>
    <w:rsid w:val="004408BB"/>
    <w:rsid w:val="00442556"/>
    <w:rsid w:val="004428AF"/>
    <w:rsid w:val="00443D6E"/>
    <w:rsid w:val="004450C4"/>
    <w:rsid w:val="004477ED"/>
    <w:rsid w:val="00451AFF"/>
    <w:rsid w:val="00451FDE"/>
    <w:rsid w:val="00454CC5"/>
    <w:rsid w:val="00454EEF"/>
    <w:rsid w:val="00455290"/>
    <w:rsid w:val="00455A5A"/>
    <w:rsid w:val="00455EDC"/>
    <w:rsid w:val="0045752D"/>
    <w:rsid w:val="0045790A"/>
    <w:rsid w:val="00461F37"/>
    <w:rsid w:val="0046231C"/>
    <w:rsid w:val="00463164"/>
    <w:rsid w:val="004646A0"/>
    <w:rsid w:val="00465432"/>
    <w:rsid w:val="0046581B"/>
    <w:rsid w:val="00465FD6"/>
    <w:rsid w:val="00467C03"/>
    <w:rsid w:val="004713DA"/>
    <w:rsid w:val="00471579"/>
    <w:rsid w:val="00471680"/>
    <w:rsid w:val="00471D7C"/>
    <w:rsid w:val="00471F89"/>
    <w:rsid w:val="00472925"/>
    <w:rsid w:val="00473B1A"/>
    <w:rsid w:val="00474575"/>
    <w:rsid w:val="004768CB"/>
    <w:rsid w:val="00477E55"/>
    <w:rsid w:val="004804A9"/>
    <w:rsid w:val="004805C7"/>
    <w:rsid w:val="00480E46"/>
    <w:rsid w:val="00480E4D"/>
    <w:rsid w:val="00481309"/>
    <w:rsid w:val="0048237F"/>
    <w:rsid w:val="004839FD"/>
    <w:rsid w:val="00483A4F"/>
    <w:rsid w:val="0048409C"/>
    <w:rsid w:val="00485328"/>
    <w:rsid w:val="0048541D"/>
    <w:rsid w:val="00485A90"/>
    <w:rsid w:val="00485D5B"/>
    <w:rsid w:val="004874B8"/>
    <w:rsid w:val="00490183"/>
    <w:rsid w:val="004906B7"/>
    <w:rsid w:val="00490D1B"/>
    <w:rsid w:val="00493DF0"/>
    <w:rsid w:val="0049568D"/>
    <w:rsid w:val="00496C5C"/>
    <w:rsid w:val="00497578"/>
    <w:rsid w:val="004A059A"/>
    <w:rsid w:val="004A0B6A"/>
    <w:rsid w:val="004A13B6"/>
    <w:rsid w:val="004A1F50"/>
    <w:rsid w:val="004A28E8"/>
    <w:rsid w:val="004A42DE"/>
    <w:rsid w:val="004A4E80"/>
    <w:rsid w:val="004B072D"/>
    <w:rsid w:val="004B1E47"/>
    <w:rsid w:val="004B442F"/>
    <w:rsid w:val="004B4F80"/>
    <w:rsid w:val="004B5AAD"/>
    <w:rsid w:val="004B77B6"/>
    <w:rsid w:val="004B7A8B"/>
    <w:rsid w:val="004B7B66"/>
    <w:rsid w:val="004C18B7"/>
    <w:rsid w:val="004C2CCB"/>
    <w:rsid w:val="004C3087"/>
    <w:rsid w:val="004C343A"/>
    <w:rsid w:val="004C4723"/>
    <w:rsid w:val="004C4F18"/>
    <w:rsid w:val="004C5E3E"/>
    <w:rsid w:val="004C7EEB"/>
    <w:rsid w:val="004D1D3D"/>
    <w:rsid w:val="004D23FD"/>
    <w:rsid w:val="004D266A"/>
    <w:rsid w:val="004D26BD"/>
    <w:rsid w:val="004D3308"/>
    <w:rsid w:val="004D4F09"/>
    <w:rsid w:val="004D61D7"/>
    <w:rsid w:val="004D6528"/>
    <w:rsid w:val="004D687B"/>
    <w:rsid w:val="004D7977"/>
    <w:rsid w:val="004D7BE2"/>
    <w:rsid w:val="004D7FD8"/>
    <w:rsid w:val="004E0A75"/>
    <w:rsid w:val="004E24E2"/>
    <w:rsid w:val="004E2F58"/>
    <w:rsid w:val="004E4140"/>
    <w:rsid w:val="004E4C54"/>
    <w:rsid w:val="004E4FA8"/>
    <w:rsid w:val="004E5690"/>
    <w:rsid w:val="004E5C22"/>
    <w:rsid w:val="004E76A0"/>
    <w:rsid w:val="004F03C5"/>
    <w:rsid w:val="004F1237"/>
    <w:rsid w:val="004F15FA"/>
    <w:rsid w:val="004F1F71"/>
    <w:rsid w:val="004F34BD"/>
    <w:rsid w:val="004F4273"/>
    <w:rsid w:val="004F4BD8"/>
    <w:rsid w:val="004F6285"/>
    <w:rsid w:val="004F7544"/>
    <w:rsid w:val="004F77F2"/>
    <w:rsid w:val="005016FA"/>
    <w:rsid w:val="00501862"/>
    <w:rsid w:val="00501993"/>
    <w:rsid w:val="0050224E"/>
    <w:rsid w:val="00502712"/>
    <w:rsid w:val="00504936"/>
    <w:rsid w:val="005070D5"/>
    <w:rsid w:val="005077DE"/>
    <w:rsid w:val="0051002D"/>
    <w:rsid w:val="00511175"/>
    <w:rsid w:val="00511A05"/>
    <w:rsid w:val="00511AF4"/>
    <w:rsid w:val="00511DAF"/>
    <w:rsid w:val="005125CC"/>
    <w:rsid w:val="00512E1D"/>
    <w:rsid w:val="00513936"/>
    <w:rsid w:val="00513A01"/>
    <w:rsid w:val="00513AC9"/>
    <w:rsid w:val="0051414A"/>
    <w:rsid w:val="005170F0"/>
    <w:rsid w:val="00522028"/>
    <w:rsid w:val="00522D61"/>
    <w:rsid w:val="00524D27"/>
    <w:rsid w:val="00524E3E"/>
    <w:rsid w:val="00524F45"/>
    <w:rsid w:val="0052537D"/>
    <w:rsid w:val="00525A69"/>
    <w:rsid w:val="00525E02"/>
    <w:rsid w:val="005267A9"/>
    <w:rsid w:val="005308BF"/>
    <w:rsid w:val="00531406"/>
    <w:rsid w:val="005327A1"/>
    <w:rsid w:val="0053338C"/>
    <w:rsid w:val="0053516C"/>
    <w:rsid w:val="00535AD4"/>
    <w:rsid w:val="0053734A"/>
    <w:rsid w:val="0054029A"/>
    <w:rsid w:val="0054127B"/>
    <w:rsid w:val="0054140B"/>
    <w:rsid w:val="00541B49"/>
    <w:rsid w:val="00542013"/>
    <w:rsid w:val="00542979"/>
    <w:rsid w:val="00542EC0"/>
    <w:rsid w:val="00543678"/>
    <w:rsid w:val="00544045"/>
    <w:rsid w:val="00544821"/>
    <w:rsid w:val="00545694"/>
    <w:rsid w:val="0054631B"/>
    <w:rsid w:val="00550CFC"/>
    <w:rsid w:val="0055104C"/>
    <w:rsid w:val="00551A11"/>
    <w:rsid w:val="005531A0"/>
    <w:rsid w:val="00553A07"/>
    <w:rsid w:val="0055459F"/>
    <w:rsid w:val="00555C76"/>
    <w:rsid w:val="005567CB"/>
    <w:rsid w:val="005568AB"/>
    <w:rsid w:val="0055728A"/>
    <w:rsid w:val="00560954"/>
    <w:rsid w:val="00560BAE"/>
    <w:rsid w:val="00560BDA"/>
    <w:rsid w:val="0056230D"/>
    <w:rsid w:val="00564315"/>
    <w:rsid w:val="005646EC"/>
    <w:rsid w:val="005648CC"/>
    <w:rsid w:val="00564C97"/>
    <w:rsid w:val="00565760"/>
    <w:rsid w:val="00565B3A"/>
    <w:rsid w:val="005665D2"/>
    <w:rsid w:val="00566A51"/>
    <w:rsid w:val="00566CCA"/>
    <w:rsid w:val="0056779E"/>
    <w:rsid w:val="00570310"/>
    <w:rsid w:val="00570A24"/>
    <w:rsid w:val="00570C62"/>
    <w:rsid w:val="005714C6"/>
    <w:rsid w:val="0057170D"/>
    <w:rsid w:val="00571CCB"/>
    <w:rsid w:val="00572B5A"/>
    <w:rsid w:val="00573B30"/>
    <w:rsid w:val="00575A46"/>
    <w:rsid w:val="00575B7F"/>
    <w:rsid w:val="005766E0"/>
    <w:rsid w:val="00577BFA"/>
    <w:rsid w:val="00577D9F"/>
    <w:rsid w:val="00580716"/>
    <w:rsid w:val="00581263"/>
    <w:rsid w:val="005822BD"/>
    <w:rsid w:val="005836D1"/>
    <w:rsid w:val="00584773"/>
    <w:rsid w:val="005852BF"/>
    <w:rsid w:val="00587117"/>
    <w:rsid w:val="00587133"/>
    <w:rsid w:val="0058747D"/>
    <w:rsid w:val="005900FE"/>
    <w:rsid w:val="00590225"/>
    <w:rsid w:val="00590C42"/>
    <w:rsid w:val="00594175"/>
    <w:rsid w:val="00595FF9"/>
    <w:rsid w:val="00596564"/>
    <w:rsid w:val="005A023E"/>
    <w:rsid w:val="005A1704"/>
    <w:rsid w:val="005A1BA0"/>
    <w:rsid w:val="005A30F7"/>
    <w:rsid w:val="005A3524"/>
    <w:rsid w:val="005A441C"/>
    <w:rsid w:val="005A5045"/>
    <w:rsid w:val="005A630C"/>
    <w:rsid w:val="005A6969"/>
    <w:rsid w:val="005A6C9B"/>
    <w:rsid w:val="005A77FB"/>
    <w:rsid w:val="005B20F7"/>
    <w:rsid w:val="005B24A9"/>
    <w:rsid w:val="005B27BC"/>
    <w:rsid w:val="005B5229"/>
    <w:rsid w:val="005B5BC6"/>
    <w:rsid w:val="005B7090"/>
    <w:rsid w:val="005C03AE"/>
    <w:rsid w:val="005C0F5B"/>
    <w:rsid w:val="005C174C"/>
    <w:rsid w:val="005C1B48"/>
    <w:rsid w:val="005C1E84"/>
    <w:rsid w:val="005C1F29"/>
    <w:rsid w:val="005C28CB"/>
    <w:rsid w:val="005C414A"/>
    <w:rsid w:val="005C4753"/>
    <w:rsid w:val="005C5FA7"/>
    <w:rsid w:val="005C6574"/>
    <w:rsid w:val="005C659B"/>
    <w:rsid w:val="005C70B8"/>
    <w:rsid w:val="005C7A0D"/>
    <w:rsid w:val="005D0AE4"/>
    <w:rsid w:val="005D2A36"/>
    <w:rsid w:val="005D2E0F"/>
    <w:rsid w:val="005D3CF7"/>
    <w:rsid w:val="005D4A47"/>
    <w:rsid w:val="005D5206"/>
    <w:rsid w:val="005E1340"/>
    <w:rsid w:val="005E13E8"/>
    <w:rsid w:val="005E1A6E"/>
    <w:rsid w:val="005E2C9F"/>
    <w:rsid w:val="005E2EE7"/>
    <w:rsid w:val="005E31DC"/>
    <w:rsid w:val="005E3285"/>
    <w:rsid w:val="005E3B3F"/>
    <w:rsid w:val="005E4A8A"/>
    <w:rsid w:val="005E4AD9"/>
    <w:rsid w:val="005E5AC7"/>
    <w:rsid w:val="005E5F9F"/>
    <w:rsid w:val="005E6742"/>
    <w:rsid w:val="005E7222"/>
    <w:rsid w:val="005E74D3"/>
    <w:rsid w:val="005F19FF"/>
    <w:rsid w:val="005F3018"/>
    <w:rsid w:val="005F3D3B"/>
    <w:rsid w:val="005F4274"/>
    <w:rsid w:val="005F4622"/>
    <w:rsid w:val="005F4B2D"/>
    <w:rsid w:val="005F5BC3"/>
    <w:rsid w:val="006000B1"/>
    <w:rsid w:val="00602E6B"/>
    <w:rsid w:val="0060360F"/>
    <w:rsid w:val="00604C48"/>
    <w:rsid w:val="0060503F"/>
    <w:rsid w:val="0060624B"/>
    <w:rsid w:val="0060705A"/>
    <w:rsid w:val="00610485"/>
    <w:rsid w:val="00612790"/>
    <w:rsid w:val="00612AB9"/>
    <w:rsid w:val="00613612"/>
    <w:rsid w:val="006140E5"/>
    <w:rsid w:val="00614259"/>
    <w:rsid w:val="00615099"/>
    <w:rsid w:val="00615448"/>
    <w:rsid w:val="00615EC1"/>
    <w:rsid w:val="00617666"/>
    <w:rsid w:val="00620194"/>
    <w:rsid w:val="00621DEF"/>
    <w:rsid w:val="00623630"/>
    <w:rsid w:val="006237F0"/>
    <w:rsid w:val="00626498"/>
    <w:rsid w:val="006325F3"/>
    <w:rsid w:val="00633E3B"/>
    <w:rsid w:val="0063609A"/>
    <w:rsid w:val="006403AA"/>
    <w:rsid w:val="00641FE0"/>
    <w:rsid w:val="00645366"/>
    <w:rsid w:val="00645D7D"/>
    <w:rsid w:val="006460FE"/>
    <w:rsid w:val="0064700A"/>
    <w:rsid w:val="0064785E"/>
    <w:rsid w:val="00650327"/>
    <w:rsid w:val="0065304A"/>
    <w:rsid w:val="00653147"/>
    <w:rsid w:val="0065367D"/>
    <w:rsid w:val="00653C9A"/>
    <w:rsid w:val="00653FFB"/>
    <w:rsid w:val="00654337"/>
    <w:rsid w:val="006544B3"/>
    <w:rsid w:val="00655084"/>
    <w:rsid w:val="006550B6"/>
    <w:rsid w:val="006567C2"/>
    <w:rsid w:val="00660DB7"/>
    <w:rsid w:val="00662F5E"/>
    <w:rsid w:val="00663821"/>
    <w:rsid w:val="00664FCD"/>
    <w:rsid w:val="00665461"/>
    <w:rsid w:val="00670303"/>
    <w:rsid w:val="006703AF"/>
    <w:rsid w:val="00670435"/>
    <w:rsid w:val="00672037"/>
    <w:rsid w:val="006738E3"/>
    <w:rsid w:val="00675803"/>
    <w:rsid w:val="00676903"/>
    <w:rsid w:val="00677D49"/>
    <w:rsid w:val="0068136C"/>
    <w:rsid w:val="00681766"/>
    <w:rsid w:val="006837D5"/>
    <w:rsid w:val="006847A3"/>
    <w:rsid w:val="00684DE0"/>
    <w:rsid w:val="006851C5"/>
    <w:rsid w:val="00685785"/>
    <w:rsid w:val="00685A6D"/>
    <w:rsid w:val="00685E2E"/>
    <w:rsid w:val="006868DA"/>
    <w:rsid w:val="00686A2A"/>
    <w:rsid w:val="00690FC2"/>
    <w:rsid w:val="00691FC7"/>
    <w:rsid w:val="00692A7B"/>
    <w:rsid w:val="00693259"/>
    <w:rsid w:val="006939E5"/>
    <w:rsid w:val="00693DB4"/>
    <w:rsid w:val="00693FE1"/>
    <w:rsid w:val="00694FBE"/>
    <w:rsid w:val="00695931"/>
    <w:rsid w:val="00696E7F"/>
    <w:rsid w:val="00697D22"/>
    <w:rsid w:val="006A1C6D"/>
    <w:rsid w:val="006A2F61"/>
    <w:rsid w:val="006A2F7E"/>
    <w:rsid w:val="006A4A48"/>
    <w:rsid w:val="006A4AA7"/>
    <w:rsid w:val="006A4AA9"/>
    <w:rsid w:val="006A4BD5"/>
    <w:rsid w:val="006A4BF6"/>
    <w:rsid w:val="006A4F55"/>
    <w:rsid w:val="006A4F7B"/>
    <w:rsid w:val="006A6608"/>
    <w:rsid w:val="006B1867"/>
    <w:rsid w:val="006B222F"/>
    <w:rsid w:val="006B3539"/>
    <w:rsid w:val="006B36EA"/>
    <w:rsid w:val="006B465C"/>
    <w:rsid w:val="006B485E"/>
    <w:rsid w:val="006B5356"/>
    <w:rsid w:val="006B6F17"/>
    <w:rsid w:val="006B6FF0"/>
    <w:rsid w:val="006B7A77"/>
    <w:rsid w:val="006C0A57"/>
    <w:rsid w:val="006C0FA7"/>
    <w:rsid w:val="006C12D8"/>
    <w:rsid w:val="006C1ACA"/>
    <w:rsid w:val="006C1F6E"/>
    <w:rsid w:val="006C2232"/>
    <w:rsid w:val="006C39CB"/>
    <w:rsid w:val="006D015C"/>
    <w:rsid w:val="006D39AA"/>
    <w:rsid w:val="006D3F55"/>
    <w:rsid w:val="006E1672"/>
    <w:rsid w:val="006E19B5"/>
    <w:rsid w:val="006E220D"/>
    <w:rsid w:val="006E2A1C"/>
    <w:rsid w:val="006E41B4"/>
    <w:rsid w:val="006E4B44"/>
    <w:rsid w:val="006F00DF"/>
    <w:rsid w:val="006F0987"/>
    <w:rsid w:val="006F2D45"/>
    <w:rsid w:val="006F2DD7"/>
    <w:rsid w:val="006F2E48"/>
    <w:rsid w:val="006F3608"/>
    <w:rsid w:val="006F4C1E"/>
    <w:rsid w:val="006F5C30"/>
    <w:rsid w:val="006F5C7A"/>
    <w:rsid w:val="006F5E2B"/>
    <w:rsid w:val="006F650B"/>
    <w:rsid w:val="006F7311"/>
    <w:rsid w:val="006F7516"/>
    <w:rsid w:val="006F76A2"/>
    <w:rsid w:val="00700A9D"/>
    <w:rsid w:val="00701311"/>
    <w:rsid w:val="007017ED"/>
    <w:rsid w:val="00702112"/>
    <w:rsid w:val="00703163"/>
    <w:rsid w:val="00704F51"/>
    <w:rsid w:val="007058E0"/>
    <w:rsid w:val="007059FE"/>
    <w:rsid w:val="00705A8A"/>
    <w:rsid w:val="00706D36"/>
    <w:rsid w:val="00706F4E"/>
    <w:rsid w:val="00707632"/>
    <w:rsid w:val="00707C4A"/>
    <w:rsid w:val="00707C89"/>
    <w:rsid w:val="00710C60"/>
    <w:rsid w:val="00711815"/>
    <w:rsid w:val="007118AD"/>
    <w:rsid w:val="00714CC3"/>
    <w:rsid w:val="00715FE5"/>
    <w:rsid w:val="007233DD"/>
    <w:rsid w:val="00723B6F"/>
    <w:rsid w:val="00726524"/>
    <w:rsid w:val="00727C68"/>
    <w:rsid w:val="00730582"/>
    <w:rsid w:val="00730EB2"/>
    <w:rsid w:val="0073185E"/>
    <w:rsid w:val="00731A4E"/>
    <w:rsid w:val="00732109"/>
    <w:rsid w:val="007349DA"/>
    <w:rsid w:val="00737635"/>
    <w:rsid w:val="00737A69"/>
    <w:rsid w:val="0074005E"/>
    <w:rsid w:val="0074138E"/>
    <w:rsid w:val="00741B09"/>
    <w:rsid w:val="00742A0C"/>
    <w:rsid w:val="0074401A"/>
    <w:rsid w:val="00744D93"/>
    <w:rsid w:val="00745925"/>
    <w:rsid w:val="007461AC"/>
    <w:rsid w:val="007461F1"/>
    <w:rsid w:val="0074632E"/>
    <w:rsid w:val="00747657"/>
    <w:rsid w:val="00747C10"/>
    <w:rsid w:val="00750160"/>
    <w:rsid w:val="00751D0E"/>
    <w:rsid w:val="007529E4"/>
    <w:rsid w:val="007550A1"/>
    <w:rsid w:val="0075679A"/>
    <w:rsid w:val="00757843"/>
    <w:rsid w:val="00760A5A"/>
    <w:rsid w:val="00764C80"/>
    <w:rsid w:val="00765E34"/>
    <w:rsid w:val="00766BD3"/>
    <w:rsid w:val="00766DF9"/>
    <w:rsid w:val="007705DB"/>
    <w:rsid w:val="00771131"/>
    <w:rsid w:val="00771231"/>
    <w:rsid w:val="00771278"/>
    <w:rsid w:val="007717EB"/>
    <w:rsid w:val="00771A7B"/>
    <w:rsid w:val="00771CC3"/>
    <w:rsid w:val="00773159"/>
    <w:rsid w:val="00777AA5"/>
    <w:rsid w:val="00777AB9"/>
    <w:rsid w:val="0078002B"/>
    <w:rsid w:val="00780890"/>
    <w:rsid w:val="0078180F"/>
    <w:rsid w:val="007836F4"/>
    <w:rsid w:val="00783F28"/>
    <w:rsid w:val="007848F1"/>
    <w:rsid w:val="0079180E"/>
    <w:rsid w:val="00791CF8"/>
    <w:rsid w:val="00792A96"/>
    <w:rsid w:val="00794F0A"/>
    <w:rsid w:val="00795734"/>
    <w:rsid w:val="00795B13"/>
    <w:rsid w:val="00796241"/>
    <w:rsid w:val="0079755A"/>
    <w:rsid w:val="007A1F30"/>
    <w:rsid w:val="007A219F"/>
    <w:rsid w:val="007A3065"/>
    <w:rsid w:val="007A460E"/>
    <w:rsid w:val="007A4AB4"/>
    <w:rsid w:val="007A4C93"/>
    <w:rsid w:val="007A6239"/>
    <w:rsid w:val="007B0749"/>
    <w:rsid w:val="007B1082"/>
    <w:rsid w:val="007B2B40"/>
    <w:rsid w:val="007B2D2F"/>
    <w:rsid w:val="007B47AE"/>
    <w:rsid w:val="007B5A8D"/>
    <w:rsid w:val="007B6781"/>
    <w:rsid w:val="007B6798"/>
    <w:rsid w:val="007B7541"/>
    <w:rsid w:val="007C1731"/>
    <w:rsid w:val="007C21B0"/>
    <w:rsid w:val="007C36F0"/>
    <w:rsid w:val="007C3B11"/>
    <w:rsid w:val="007C46BD"/>
    <w:rsid w:val="007C4911"/>
    <w:rsid w:val="007C4E81"/>
    <w:rsid w:val="007C577E"/>
    <w:rsid w:val="007C66DD"/>
    <w:rsid w:val="007C6BE3"/>
    <w:rsid w:val="007D0013"/>
    <w:rsid w:val="007D0D8F"/>
    <w:rsid w:val="007D0F1B"/>
    <w:rsid w:val="007D278E"/>
    <w:rsid w:val="007D4297"/>
    <w:rsid w:val="007D45FE"/>
    <w:rsid w:val="007D4D1D"/>
    <w:rsid w:val="007D56CD"/>
    <w:rsid w:val="007D5862"/>
    <w:rsid w:val="007D59C5"/>
    <w:rsid w:val="007D60DB"/>
    <w:rsid w:val="007E006C"/>
    <w:rsid w:val="007E0C4D"/>
    <w:rsid w:val="007E359E"/>
    <w:rsid w:val="007E62AE"/>
    <w:rsid w:val="007E75A8"/>
    <w:rsid w:val="007E7BC4"/>
    <w:rsid w:val="007F0851"/>
    <w:rsid w:val="007F0951"/>
    <w:rsid w:val="007F11E1"/>
    <w:rsid w:val="007F3241"/>
    <w:rsid w:val="007F406E"/>
    <w:rsid w:val="007F4D3F"/>
    <w:rsid w:val="007F521D"/>
    <w:rsid w:val="007F5557"/>
    <w:rsid w:val="007F6B6A"/>
    <w:rsid w:val="007F7833"/>
    <w:rsid w:val="0080166B"/>
    <w:rsid w:val="00801D06"/>
    <w:rsid w:val="008022A7"/>
    <w:rsid w:val="008022AF"/>
    <w:rsid w:val="008030C8"/>
    <w:rsid w:val="00803713"/>
    <w:rsid w:val="008038F5"/>
    <w:rsid w:val="00805C87"/>
    <w:rsid w:val="008107F1"/>
    <w:rsid w:val="008114E9"/>
    <w:rsid w:val="00813FFF"/>
    <w:rsid w:val="00814150"/>
    <w:rsid w:val="00815D1B"/>
    <w:rsid w:val="00820257"/>
    <w:rsid w:val="008202B9"/>
    <w:rsid w:val="00821DE2"/>
    <w:rsid w:val="0082271B"/>
    <w:rsid w:val="00822763"/>
    <w:rsid w:val="008227F4"/>
    <w:rsid w:val="008242E2"/>
    <w:rsid w:val="008258D5"/>
    <w:rsid w:val="0083219E"/>
    <w:rsid w:val="0083305C"/>
    <w:rsid w:val="00833218"/>
    <w:rsid w:val="008347A3"/>
    <w:rsid w:val="00835048"/>
    <w:rsid w:val="0083512C"/>
    <w:rsid w:val="008352F1"/>
    <w:rsid w:val="00837441"/>
    <w:rsid w:val="00837AC0"/>
    <w:rsid w:val="00842874"/>
    <w:rsid w:val="008440EC"/>
    <w:rsid w:val="008443AA"/>
    <w:rsid w:val="008447C2"/>
    <w:rsid w:val="008453BF"/>
    <w:rsid w:val="00846E14"/>
    <w:rsid w:val="0085160A"/>
    <w:rsid w:val="008527EF"/>
    <w:rsid w:val="00852DB4"/>
    <w:rsid w:val="008532B9"/>
    <w:rsid w:val="00853FA6"/>
    <w:rsid w:val="00854726"/>
    <w:rsid w:val="00854728"/>
    <w:rsid w:val="00854A6F"/>
    <w:rsid w:val="00856841"/>
    <w:rsid w:val="00856F22"/>
    <w:rsid w:val="00857175"/>
    <w:rsid w:val="00857CAB"/>
    <w:rsid w:val="00860638"/>
    <w:rsid w:val="00860AB8"/>
    <w:rsid w:val="008622B1"/>
    <w:rsid w:val="008626AA"/>
    <w:rsid w:val="00865175"/>
    <w:rsid w:val="00865E8C"/>
    <w:rsid w:val="00866681"/>
    <w:rsid w:val="00867FA8"/>
    <w:rsid w:val="008701D2"/>
    <w:rsid w:val="0087161B"/>
    <w:rsid w:val="00871E5E"/>
    <w:rsid w:val="00873749"/>
    <w:rsid w:val="008737D1"/>
    <w:rsid w:val="0087402E"/>
    <w:rsid w:val="00874075"/>
    <w:rsid w:val="008743A8"/>
    <w:rsid w:val="00875608"/>
    <w:rsid w:val="00875B7C"/>
    <w:rsid w:val="00880AB9"/>
    <w:rsid w:val="0088260B"/>
    <w:rsid w:val="008829A1"/>
    <w:rsid w:val="00882DC3"/>
    <w:rsid w:val="00884CDB"/>
    <w:rsid w:val="008852AC"/>
    <w:rsid w:val="00886247"/>
    <w:rsid w:val="00886C5D"/>
    <w:rsid w:val="00887B4D"/>
    <w:rsid w:val="00890BD8"/>
    <w:rsid w:val="008927FA"/>
    <w:rsid w:val="00892BC0"/>
    <w:rsid w:val="00893FC9"/>
    <w:rsid w:val="0089424C"/>
    <w:rsid w:val="00895111"/>
    <w:rsid w:val="008A071B"/>
    <w:rsid w:val="008A0BD1"/>
    <w:rsid w:val="008A154B"/>
    <w:rsid w:val="008A4867"/>
    <w:rsid w:val="008A4D0B"/>
    <w:rsid w:val="008A513D"/>
    <w:rsid w:val="008A6B56"/>
    <w:rsid w:val="008B14C1"/>
    <w:rsid w:val="008B46B6"/>
    <w:rsid w:val="008B7A03"/>
    <w:rsid w:val="008C0D7F"/>
    <w:rsid w:val="008C101A"/>
    <w:rsid w:val="008C15D3"/>
    <w:rsid w:val="008C2C71"/>
    <w:rsid w:val="008C4005"/>
    <w:rsid w:val="008C638E"/>
    <w:rsid w:val="008D1963"/>
    <w:rsid w:val="008D2738"/>
    <w:rsid w:val="008D42AC"/>
    <w:rsid w:val="008D5C3F"/>
    <w:rsid w:val="008D6B7B"/>
    <w:rsid w:val="008D762F"/>
    <w:rsid w:val="008D77C8"/>
    <w:rsid w:val="008D7B74"/>
    <w:rsid w:val="008E13BE"/>
    <w:rsid w:val="008E3422"/>
    <w:rsid w:val="008E36CA"/>
    <w:rsid w:val="008E4B29"/>
    <w:rsid w:val="008E5584"/>
    <w:rsid w:val="008E60A7"/>
    <w:rsid w:val="008F0C27"/>
    <w:rsid w:val="008F1DE1"/>
    <w:rsid w:val="008F2EEF"/>
    <w:rsid w:val="008F48AE"/>
    <w:rsid w:val="008F4C65"/>
    <w:rsid w:val="008F545A"/>
    <w:rsid w:val="008F576F"/>
    <w:rsid w:val="008F5F89"/>
    <w:rsid w:val="008F79BE"/>
    <w:rsid w:val="00900BF7"/>
    <w:rsid w:val="00902636"/>
    <w:rsid w:val="009050D2"/>
    <w:rsid w:val="0090560A"/>
    <w:rsid w:val="00906EFC"/>
    <w:rsid w:val="0091048F"/>
    <w:rsid w:val="00914C71"/>
    <w:rsid w:val="00914F5B"/>
    <w:rsid w:val="00916495"/>
    <w:rsid w:val="00916AE1"/>
    <w:rsid w:val="00916FE8"/>
    <w:rsid w:val="00921602"/>
    <w:rsid w:val="00923CDE"/>
    <w:rsid w:val="00924429"/>
    <w:rsid w:val="0092574A"/>
    <w:rsid w:val="009279E5"/>
    <w:rsid w:val="00927D95"/>
    <w:rsid w:val="00931DE4"/>
    <w:rsid w:val="00934543"/>
    <w:rsid w:val="00934C55"/>
    <w:rsid w:val="009358AE"/>
    <w:rsid w:val="00935DBF"/>
    <w:rsid w:val="00935EC3"/>
    <w:rsid w:val="00935F6D"/>
    <w:rsid w:val="00937346"/>
    <w:rsid w:val="00937F5E"/>
    <w:rsid w:val="00941FA3"/>
    <w:rsid w:val="00942E81"/>
    <w:rsid w:val="00943D41"/>
    <w:rsid w:val="00945E97"/>
    <w:rsid w:val="00946441"/>
    <w:rsid w:val="00947671"/>
    <w:rsid w:val="00947FB5"/>
    <w:rsid w:val="00951E30"/>
    <w:rsid w:val="00952B90"/>
    <w:rsid w:val="0095368C"/>
    <w:rsid w:val="00954D27"/>
    <w:rsid w:val="00955969"/>
    <w:rsid w:val="00956849"/>
    <w:rsid w:val="00964090"/>
    <w:rsid w:val="009649D1"/>
    <w:rsid w:val="00964F0A"/>
    <w:rsid w:val="009656B4"/>
    <w:rsid w:val="00965837"/>
    <w:rsid w:val="00965CE5"/>
    <w:rsid w:val="00965DD4"/>
    <w:rsid w:val="0096644A"/>
    <w:rsid w:val="00970F5A"/>
    <w:rsid w:val="00971AD5"/>
    <w:rsid w:val="00971BCB"/>
    <w:rsid w:val="00971D16"/>
    <w:rsid w:val="00972CA3"/>
    <w:rsid w:val="0097306A"/>
    <w:rsid w:val="00973627"/>
    <w:rsid w:val="00973D57"/>
    <w:rsid w:val="00973DC4"/>
    <w:rsid w:val="00975D8E"/>
    <w:rsid w:val="00976F71"/>
    <w:rsid w:val="009773FA"/>
    <w:rsid w:val="00980515"/>
    <w:rsid w:val="00981FCE"/>
    <w:rsid w:val="00983E9D"/>
    <w:rsid w:val="00984210"/>
    <w:rsid w:val="00985CF1"/>
    <w:rsid w:val="0098792F"/>
    <w:rsid w:val="009909BF"/>
    <w:rsid w:val="0099238C"/>
    <w:rsid w:val="00992413"/>
    <w:rsid w:val="00992711"/>
    <w:rsid w:val="009943CC"/>
    <w:rsid w:val="009A055E"/>
    <w:rsid w:val="009A0714"/>
    <w:rsid w:val="009A17D9"/>
    <w:rsid w:val="009A32A9"/>
    <w:rsid w:val="009A477B"/>
    <w:rsid w:val="009A4AE5"/>
    <w:rsid w:val="009B0D69"/>
    <w:rsid w:val="009B12A9"/>
    <w:rsid w:val="009B1CA2"/>
    <w:rsid w:val="009B2C8A"/>
    <w:rsid w:val="009B3544"/>
    <w:rsid w:val="009B4136"/>
    <w:rsid w:val="009B5814"/>
    <w:rsid w:val="009B7F45"/>
    <w:rsid w:val="009C024A"/>
    <w:rsid w:val="009C1945"/>
    <w:rsid w:val="009C1B63"/>
    <w:rsid w:val="009C1E42"/>
    <w:rsid w:val="009C20E0"/>
    <w:rsid w:val="009C33B6"/>
    <w:rsid w:val="009C4D97"/>
    <w:rsid w:val="009C58BC"/>
    <w:rsid w:val="009C75B5"/>
    <w:rsid w:val="009C7A2B"/>
    <w:rsid w:val="009D0CB7"/>
    <w:rsid w:val="009D11F4"/>
    <w:rsid w:val="009D1437"/>
    <w:rsid w:val="009D3592"/>
    <w:rsid w:val="009D425D"/>
    <w:rsid w:val="009D4760"/>
    <w:rsid w:val="009D57B0"/>
    <w:rsid w:val="009D57EC"/>
    <w:rsid w:val="009D6856"/>
    <w:rsid w:val="009D7438"/>
    <w:rsid w:val="009D7C3D"/>
    <w:rsid w:val="009E035A"/>
    <w:rsid w:val="009E0A9C"/>
    <w:rsid w:val="009E12AB"/>
    <w:rsid w:val="009E1BE3"/>
    <w:rsid w:val="009E1C8F"/>
    <w:rsid w:val="009E4794"/>
    <w:rsid w:val="009E5C8E"/>
    <w:rsid w:val="009E6CF9"/>
    <w:rsid w:val="009E7A98"/>
    <w:rsid w:val="009F0814"/>
    <w:rsid w:val="009F1344"/>
    <w:rsid w:val="009F21B6"/>
    <w:rsid w:val="009F29A3"/>
    <w:rsid w:val="009F4EF3"/>
    <w:rsid w:val="009F535A"/>
    <w:rsid w:val="009F6546"/>
    <w:rsid w:val="009F6D6F"/>
    <w:rsid w:val="009F6F6E"/>
    <w:rsid w:val="00A002E5"/>
    <w:rsid w:val="00A009D9"/>
    <w:rsid w:val="00A03C3E"/>
    <w:rsid w:val="00A04FC3"/>
    <w:rsid w:val="00A051EB"/>
    <w:rsid w:val="00A05558"/>
    <w:rsid w:val="00A05FD5"/>
    <w:rsid w:val="00A07901"/>
    <w:rsid w:val="00A129F8"/>
    <w:rsid w:val="00A138BA"/>
    <w:rsid w:val="00A13CCD"/>
    <w:rsid w:val="00A1435E"/>
    <w:rsid w:val="00A17DF4"/>
    <w:rsid w:val="00A2025D"/>
    <w:rsid w:val="00A22536"/>
    <w:rsid w:val="00A227C8"/>
    <w:rsid w:val="00A22A2A"/>
    <w:rsid w:val="00A23BC9"/>
    <w:rsid w:val="00A24DDB"/>
    <w:rsid w:val="00A253E2"/>
    <w:rsid w:val="00A25B22"/>
    <w:rsid w:val="00A26B80"/>
    <w:rsid w:val="00A26E03"/>
    <w:rsid w:val="00A272D8"/>
    <w:rsid w:val="00A27B0F"/>
    <w:rsid w:val="00A30128"/>
    <w:rsid w:val="00A31DFE"/>
    <w:rsid w:val="00A32803"/>
    <w:rsid w:val="00A33000"/>
    <w:rsid w:val="00A34251"/>
    <w:rsid w:val="00A353CA"/>
    <w:rsid w:val="00A356F3"/>
    <w:rsid w:val="00A37539"/>
    <w:rsid w:val="00A428EC"/>
    <w:rsid w:val="00A42AB9"/>
    <w:rsid w:val="00A43475"/>
    <w:rsid w:val="00A436A4"/>
    <w:rsid w:val="00A43A6B"/>
    <w:rsid w:val="00A45CB6"/>
    <w:rsid w:val="00A46820"/>
    <w:rsid w:val="00A505BB"/>
    <w:rsid w:val="00A51951"/>
    <w:rsid w:val="00A56000"/>
    <w:rsid w:val="00A56C1F"/>
    <w:rsid w:val="00A57F98"/>
    <w:rsid w:val="00A61A20"/>
    <w:rsid w:val="00A624BC"/>
    <w:rsid w:val="00A629F1"/>
    <w:rsid w:val="00A635D4"/>
    <w:rsid w:val="00A636E6"/>
    <w:rsid w:val="00A63BDB"/>
    <w:rsid w:val="00A63F41"/>
    <w:rsid w:val="00A6522D"/>
    <w:rsid w:val="00A65820"/>
    <w:rsid w:val="00A65A55"/>
    <w:rsid w:val="00A665CB"/>
    <w:rsid w:val="00A66793"/>
    <w:rsid w:val="00A66D32"/>
    <w:rsid w:val="00A67040"/>
    <w:rsid w:val="00A676BB"/>
    <w:rsid w:val="00A71146"/>
    <w:rsid w:val="00A71390"/>
    <w:rsid w:val="00A71917"/>
    <w:rsid w:val="00A72461"/>
    <w:rsid w:val="00A726A2"/>
    <w:rsid w:val="00A73F9F"/>
    <w:rsid w:val="00A74C8B"/>
    <w:rsid w:val="00A75133"/>
    <w:rsid w:val="00A75938"/>
    <w:rsid w:val="00A75C6B"/>
    <w:rsid w:val="00A75E5F"/>
    <w:rsid w:val="00A777C8"/>
    <w:rsid w:val="00A77A5C"/>
    <w:rsid w:val="00A77C9C"/>
    <w:rsid w:val="00A810E4"/>
    <w:rsid w:val="00A83654"/>
    <w:rsid w:val="00A83AD0"/>
    <w:rsid w:val="00A84107"/>
    <w:rsid w:val="00A844FB"/>
    <w:rsid w:val="00A84FB9"/>
    <w:rsid w:val="00A86151"/>
    <w:rsid w:val="00A86299"/>
    <w:rsid w:val="00A862DC"/>
    <w:rsid w:val="00A87B13"/>
    <w:rsid w:val="00A87C1B"/>
    <w:rsid w:val="00A904D4"/>
    <w:rsid w:val="00A912FC"/>
    <w:rsid w:val="00A95680"/>
    <w:rsid w:val="00A95C84"/>
    <w:rsid w:val="00A95E80"/>
    <w:rsid w:val="00AA0614"/>
    <w:rsid w:val="00AA249B"/>
    <w:rsid w:val="00AA28D8"/>
    <w:rsid w:val="00AA3A42"/>
    <w:rsid w:val="00AA41D0"/>
    <w:rsid w:val="00AA44DF"/>
    <w:rsid w:val="00AA4873"/>
    <w:rsid w:val="00AA6E21"/>
    <w:rsid w:val="00AA7CA6"/>
    <w:rsid w:val="00AB01CE"/>
    <w:rsid w:val="00AB0AF5"/>
    <w:rsid w:val="00AB13FE"/>
    <w:rsid w:val="00AB1891"/>
    <w:rsid w:val="00AB1B2E"/>
    <w:rsid w:val="00AB2F45"/>
    <w:rsid w:val="00AB474E"/>
    <w:rsid w:val="00AB5535"/>
    <w:rsid w:val="00AB6009"/>
    <w:rsid w:val="00AB6DD1"/>
    <w:rsid w:val="00AC0593"/>
    <w:rsid w:val="00AC46D9"/>
    <w:rsid w:val="00AC4F5A"/>
    <w:rsid w:val="00AC602B"/>
    <w:rsid w:val="00AC63AB"/>
    <w:rsid w:val="00AC6483"/>
    <w:rsid w:val="00AC7081"/>
    <w:rsid w:val="00AC75C9"/>
    <w:rsid w:val="00AD0609"/>
    <w:rsid w:val="00AD125C"/>
    <w:rsid w:val="00AD173C"/>
    <w:rsid w:val="00AD18AD"/>
    <w:rsid w:val="00AD3011"/>
    <w:rsid w:val="00AD3191"/>
    <w:rsid w:val="00AD32D0"/>
    <w:rsid w:val="00AD3D94"/>
    <w:rsid w:val="00AD436E"/>
    <w:rsid w:val="00AD4D72"/>
    <w:rsid w:val="00AD6083"/>
    <w:rsid w:val="00AD639D"/>
    <w:rsid w:val="00AD685E"/>
    <w:rsid w:val="00AD7968"/>
    <w:rsid w:val="00AE021E"/>
    <w:rsid w:val="00AE0480"/>
    <w:rsid w:val="00AE07A8"/>
    <w:rsid w:val="00AE0CC5"/>
    <w:rsid w:val="00AE197B"/>
    <w:rsid w:val="00AE2AE2"/>
    <w:rsid w:val="00AE35E4"/>
    <w:rsid w:val="00AE4018"/>
    <w:rsid w:val="00AE4BB1"/>
    <w:rsid w:val="00AE50CB"/>
    <w:rsid w:val="00AF0303"/>
    <w:rsid w:val="00AF151C"/>
    <w:rsid w:val="00AF1D86"/>
    <w:rsid w:val="00AF2672"/>
    <w:rsid w:val="00AF2AEF"/>
    <w:rsid w:val="00AF50C8"/>
    <w:rsid w:val="00AF55EF"/>
    <w:rsid w:val="00AF6F0F"/>
    <w:rsid w:val="00AF7B09"/>
    <w:rsid w:val="00B00254"/>
    <w:rsid w:val="00B008C4"/>
    <w:rsid w:val="00B0230F"/>
    <w:rsid w:val="00B0236F"/>
    <w:rsid w:val="00B0288E"/>
    <w:rsid w:val="00B0317A"/>
    <w:rsid w:val="00B03490"/>
    <w:rsid w:val="00B05AA2"/>
    <w:rsid w:val="00B06160"/>
    <w:rsid w:val="00B0683F"/>
    <w:rsid w:val="00B06AD7"/>
    <w:rsid w:val="00B078E3"/>
    <w:rsid w:val="00B10BD2"/>
    <w:rsid w:val="00B1176C"/>
    <w:rsid w:val="00B12795"/>
    <w:rsid w:val="00B12B80"/>
    <w:rsid w:val="00B1362D"/>
    <w:rsid w:val="00B13D67"/>
    <w:rsid w:val="00B16008"/>
    <w:rsid w:val="00B1646F"/>
    <w:rsid w:val="00B16D25"/>
    <w:rsid w:val="00B1754E"/>
    <w:rsid w:val="00B17B8A"/>
    <w:rsid w:val="00B2149C"/>
    <w:rsid w:val="00B222BE"/>
    <w:rsid w:val="00B22D25"/>
    <w:rsid w:val="00B233DA"/>
    <w:rsid w:val="00B242AB"/>
    <w:rsid w:val="00B25B7D"/>
    <w:rsid w:val="00B25EA6"/>
    <w:rsid w:val="00B3170D"/>
    <w:rsid w:val="00B31DB5"/>
    <w:rsid w:val="00B32594"/>
    <w:rsid w:val="00B32B95"/>
    <w:rsid w:val="00B33DBA"/>
    <w:rsid w:val="00B36383"/>
    <w:rsid w:val="00B37266"/>
    <w:rsid w:val="00B37C81"/>
    <w:rsid w:val="00B4144D"/>
    <w:rsid w:val="00B41EAA"/>
    <w:rsid w:val="00B44269"/>
    <w:rsid w:val="00B44413"/>
    <w:rsid w:val="00B45F53"/>
    <w:rsid w:val="00B469C8"/>
    <w:rsid w:val="00B46B19"/>
    <w:rsid w:val="00B46F38"/>
    <w:rsid w:val="00B474C8"/>
    <w:rsid w:val="00B478D9"/>
    <w:rsid w:val="00B533B0"/>
    <w:rsid w:val="00B53AFE"/>
    <w:rsid w:val="00B54BD9"/>
    <w:rsid w:val="00B54EB4"/>
    <w:rsid w:val="00B560FF"/>
    <w:rsid w:val="00B56C72"/>
    <w:rsid w:val="00B5736F"/>
    <w:rsid w:val="00B57729"/>
    <w:rsid w:val="00B5779B"/>
    <w:rsid w:val="00B62B2D"/>
    <w:rsid w:val="00B62D7E"/>
    <w:rsid w:val="00B656CA"/>
    <w:rsid w:val="00B65C7C"/>
    <w:rsid w:val="00B65EE2"/>
    <w:rsid w:val="00B67B7A"/>
    <w:rsid w:val="00B67D71"/>
    <w:rsid w:val="00B67FFD"/>
    <w:rsid w:val="00B700D5"/>
    <w:rsid w:val="00B701AF"/>
    <w:rsid w:val="00B71123"/>
    <w:rsid w:val="00B74264"/>
    <w:rsid w:val="00B744B2"/>
    <w:rsid w:val="00B74AB1"/>
    <w:rsid w:val="00B74D4C"/>
    <w:rsid w:val="00B7567B"/>
    <w:rsid w:val="00B75C8E"/>
    <w:rsid w:val="00B77465"/>
    <w:rsid w:val="00B8096F"/>
    <w:rsid w:val="00B80971"/>
    <w:rsid w:val="00B813E1"/>
    <w:rsid w:val="00B82F44"/>
    <w:rsid w:val="00B83D49"/>
    <w:rsid w:val="00B8507C"/>
    <w:rsid w:val="00B85B73"/>
    <w:rsid w:val="00B8602B"/>
    <w:rsid w:val="00B86124"/>
    <w:rsid w:val="00B908A4"/>
    <w:rsid w:val="00B91D50"/>
    <w:rsid w:val="00B9381F"/>
    <w:rsid w:val="00B94540"/>
    <w:rsid w:val="00B94B91"/>
    <w:rsid w:val="00B95484"/>
    <w:rsid w:val="00B96429"/>
    <w:rsid w:val="00B97470"/>
    <w:rsid w:val="00B977FF"/>
    <w:rsid w:val="00BA0308"/>
    <w:rsid w:val="00BA0E1A"/>
    <w:rsid w:val="00BA26C6"/>
    <w:rsid w:val="00BA3672"/>
    <w:rsid w:val="00BA3AC9"/>
    <w:rsid w:val="00BA4ECD"/>
    <w:rsid w:val="00BA6F64"/>
    <w:rsid w:val="00BA747E"/>
    <w:rsid w:val="00BB01CE"/>
    <w:rsid w:val="00BB0251"/>
    <w:rsid w:val="00BB21DA"/>
    <w:rsid w:val="00BB4F50"/>
    <w:rsid w:val="00BB5E2E"/>
    <w:rsid w:val="00BB6789"/>
    <w:rsid w:val="00BB7CB5"/>
    <w:rsid w:val="00BC1449"/>
    <w:rsid w:val="00BC3AE2"/>
    <w:rsid w:val="00BC623E"/>
    <w:rsid w:val="00BC7453"/>
    <w:rsid w:val="00BC77C8"/>
    <w:rsid w:val="00BC7D2C"/>
    <w:rsid w:val="00BD0344"/>
    <w:rsid w:val="00BD2E87"/>
    <w:rsid w:val="00BD3C62"/>
    <w:rsid w:val="00BD4F39"/>
    <w:rsid w:val="00BD67BF"/>
    <w:rsid w:val="00BD6B84"/>
    <w:rsid w:val="00BD7923"/>
    <w:rsid w:val="00BE1B48"/>
    <w:rsid w:val="00BE26DA"/>
    <w:rsid w:val="00BE2F9C"/>
    <w:rsid w:val="00BE2FFA"/>
    <w:rsid w:val="00BE30E8"/>
    <w:rsid w:val="00BE3DE0"/>
    <w:rsid w:val="00BE5B31"/>
    <w:rsid w:val="00BE5C06"/>
    <w:rsid w:val="00BE6496"/>
    <w:rsid w:val="00BF0108"/>
    <w:rsid w:val="00BF0AA8"/>
    <w:rsid w:val="00BF1362"/>
    <w:rsid w:val="00BF26D4"/>
    <w:rsid w:val="00BF4D0E"/>
    <w:rsid w:val="00BF52BD"/>
    <w:rsid w:val="00BF5A49"/>
    <w:rsid w:val="00BF730B"/>
    <w:rsid w:val="00BF757D"/>
    <w:rsid w:val="00C004C8"/>
    <w:rsid w:val="00C01794"/>
    <w:rsid w:val="00C025D3"/>
    <w:rsid w:val="00C02A70"/>
    <w:rsid w:val="00C03383"/>
    <w:rsid w:val="00C0482C"/>
    <w:rsid w:val="00C04B21"/>
    <w:rsid w:val="00C05274"/>
    <w:rsid w:val="00C067F5"/>
    <w:rsid w:val="00C0776E"/>
    <w:rsid w:val="00C07781"/>
    <w:rsid w:val="00C11318"/>
    <w:rsid w:val="00C124B8"/>
    <w:rsid w:val="00C12A56"/>
    <w:rsid w:val="00C12B05"/>
    <w:rsid w:val="00C1421D"/>
    <w:rsid w:val="00C16876"/>
    <w:rsid w:val="00C17165"/>
    <w:rsid w:val="00C20661"/>
    <w:rsid w:val="00C20F83"/>
    <w:rsid w:val="00C21ED5"/>
    <w:rsid w:val="00C22C9A"/>
    <w:rsid w:val="00C23A46"/>
    <w:rsid w:val="00C23FCD"/>
    <w:rsid w:val="00C25649"/>
    <w:rsid w:val="00C25C9F"/>
    <w:rsid w:val="00C25E8C"/>
    <w:rsid w:val="00C3017C"/>
    <w:rsid w:val="00C33EB2"/>
    <w:rsid w:val="00C34388"/>
    <w:rsid w:val="00C35B6A"/>
    <w:rsid w:val="00C35D6C"/>
    <w:rsid w:val="00C36403"/>
    <w:rsid w:val="00C374D7"/>
    <w:rsid w:val="00C41039"/>
    <w:rsid w:val="00C42774"/>
    <w:rsid w:val="00C42E4C"/>
    <w:rsid w:val="00C42EA1"/>
    <w:rsid w:val="00C4331C"/>
    <w:rsid w:val="00C44682"/>
    <w:rsid w:val="00C4614A"/>
    <w:rsid w:val="00C46936"/>
    <w:rsid w:val="00C47536"/>
    <w:rsid w:val="00C47FD5"/>
    <w:rsid w:val="00C529A5"/>
    <w:rsid w:val="00C53803"/>
    <w:rsid w:val="00C54A22"/>
    <w:rsid w:val="00C56763"/>
    <w:rsid w:val="00C570A2"/>
    <w:rsid w:val="00C609BC"/>
    <w:rsid w:val="00C62CC8"/>
    <w:rsid w:val="00C62DA5"/>
    <w:rsid w:val="00C64374"/>
    <w:rsid w:val="00C65809"/>
    <w:rsid w:val="00C66B28"/>
    <w:rsid w:val="00C70CBE"/>
    <w:rsid w:val="00C725DC"/>
    <w:rsid w:val="00C72B3C"/>
    <w:rsid w:val="00C75B59"/>
    <w:rsid w:val="00C8005D"/>
    <w:rsid w:val="00C8006F"/>
    <w:rsid w:val="00C833F7"/>
    <w:rsid w:val="00C84F1D"/>
    <w:rsid w:val="00C85304"/>
    <w:rsid w:val="00C85354"/>
    <w:rsid w:val="00C85E93"/>
    <w:rsid w:val="00C86C20"/>
    <w:rsid w:val="00C90E99"/>
    <w:rsid w:val="00C91F6E"/>
    <w:rsid w:val="00C93140"/>
    <w:rsid w:val="00C954DC"/>
    <w:rsid w:val="00C95B57"/>
    <w:rsid w:val="00C96352"/>
    <w:rsid w:val="00C964CB"/>
    <w:rsid w:val="00C96A1C"/>
    <w:rsid w:val="00C97275"/>
    <w:rsid w:val="00C97A29"/>
    <w:rsid w:val="00CA099B"/>
    <w:rsid w:val="00CA27F0"/>
    <w:rsid w:val="00CA2B05"/>
    <w:rsid w:val="00CA37CF"/>
    <w:rsid w:val="00CA6A5F"/>
    <w:rsid w:val="00CA6C87"/>
    <w:rsid w:val="00CA7B27"/>
    <w:rsid w:val="00CA7C0B"/>
    <w:rsid w:val="00CB1126"/>
    <w:rsid w:val="00CB1CAD"/>
    <w:rsid w:val="00CB36A4"/>
    <w:rsid w:val="00CB3965"/>
    <w:rsid w:val="00CB51A2"/>
    <w:rsid w:val="00CB6989"/>
    <w:rsid w:val="00CC1F49"/>
    <w:rsid w:val="00CC3CBE"/>
    <w:rsid w:val="00CC41F7"/>
    <w:rsid w:val="00CC4EB9"/>
    <w:rsid w:val="00CC5E18"/>
    <w:rsid w:val="00CD151B"/>
    <w:rsid w:val="00CD20FC"/>
    <w:rsid w:val="00CD25D3"/>
    <w:rsid w:val="00CD4773"/>
    <w:rsid w:val="00CD4C28"/>
    <w:rsid w:val="00CD4EB8"/>
    <w:rsid w:val="00CE082C"/>
    <w:rsid w:val="00CE2927"/>
    <w:rsid w:val="00CE3BC1"/>
    <w:rsid w:val="00CE3F29"/>
    <w:rsid w:val="00CE5763"/>
    <w:rsid w:val="00CE5CE7"/>
    <w:rsid w:val="00CE7189"/>
    <w:rsid w:val="00CE74EF"/>
    <w:rsid w:val="00CE768D"/>
    <w:rsid w:val="00CF0788"/>
    <w:rsid w:val="00CF0956"/>
    <w:rsid w:val="00CF0D8F"/>
    <w:rsid w:val="00CF0E3D"/>
    <w:rsid w:val="00CF1238"/>
    <w:rsid w:val="00CF4556"/>
    <w:rsid w:val="00CF4D5B"/>
    <w:rsid w:val="00CF65EA"/>
    <w:rsid w:val="00CF72EE"/>
    <w:rsid w:val="00D007AD"/>
    <w:rsid w:val="00D0146F"/>
    <w:rsid w:val="00D01EB1"/>
    <w:rsid w:val="00D02178"/>
    <w:rsid w:val="00D03008"/>
    <w:rsid w:val="00D03483"/>
    <w:rsid w:val="00D05BF0"/>
    <w:rsid w:val="00D06791"/>
    <w:rsid w:val="00D077BC"/>
    <w:rsid w:val="00D07BF8"/>
    <w:rsid w:val="00D124ED"/>
    <w:rsid w:val="00D16A9D"/>
    <w:rsid w:val="00D21667"/>
    <w:rsid w:val="00D21A57"/>
    <w:rsid w:val="00D21A7C"/>
    <w:rsid w:val="00D21FF1"/>
    <w:rsid w:val="00D25EEA"/>
    <w:rsid w:val="00D27403"/>
    <w:rsid w:val="00D302F7"/>
    <w:rsid w:val="00D30A81"/>
    <w:rsid w:val="00D312E1"/>
    <w:rsid w:val="00D31E1D"/>
    <w:rsid w:val="00D3204C"/>
    <w:rsid w:val="00D32418"/>
    <w:rsid w:val="00D34617"/>
    <w:rsid w:val="00D34D12"/>
    <w:rsid w:val="00D36205"/>
    <w:rsid w:val="00D362F5"/>
    <w:rsid w:val="00D36700"/>
    <w:rsid w:val="00D370CE"/>
    <w:rsid w:val="00D4093A"/>
    <w:rsid w:val="00D40FEF"/>
    <w:rsid w:val="00D41AE0"/>
    <w:rsid w:val="00D43BA8"/>
    <w:rsid w:val="00D43E36"/>
    <w:rsid w:val="00D46F7D"/>
    <w:rsid w:val="00D47773"/>
    <w:rsid w:val="00D506A7"/>
    <w:rsid w:val="00D50770"/>
    <w:rsid w:val="00D51BCD"/>
    <w:rsid w:val="00D53085"/>
    <w:rsid w:val="00D53EEE"/>
    <w:rsid w:val="00D55151"/>
    <w:rsid w:val="00D553D3"/>
    <w:rsid w:val="00D55901"/>
    <w:rsid w:val="00D559A6"/>
    <w:rsid w:val="00D56AFF"/>
    <w:rsid w:val="00D57396"/>
    <w:rsid w:val="00D57EA8"/>
    <w:rsid w:val="00D61059"/>
    <w:rsid w:val="00D61642"/>
    <w:rsid w:val="00D63763"/>
    <w:rsid w:val="00D64F29"/>
    <w:rsid w:val="00D70092"/>
    <w:rsid w:val="00D7433C"/>
    <w:rsid w:val="00D74AE3"/>
    <w:rsid w:val="00D76B92"/>
    <w:rsid w:val="00D76E2D"/>
    <w:rsid w:val="00D77E50"/>
    <w:rsid w:val="00D77F73"/>
    <w:rsid w:val="00D806DE"/>
    <w:rsid w:val="00D80B7F"/>
    <w:rsid w:val="00D8128D"/>
    <w:rsid w:val="00D81445"/>
    <w:rsid w:val="00D82130"/>
    <w:rsid w:val="00D822BB"/>
    <w:rsid w:val="00D84E5B"/>
    <w:rsid w:val="00D84F9A"/>
    <w:rsid w:val="00D8590A"/>
    <w:rsid w:val="00D86483"/>
    <w:rsid w:val="00D86A7E"/>
    <w:rsid w:val="00D86D04"/>
    <w:rsid w:val="00D9081D"/>
    <w:rsid w:val="00D909DA"/>
    <w:rsid w:val="00D927F6"/>
    <w:rsid w:val="00D93580"/>
    <w:rsid w:val="00D94767"/>
    <w:rsid w:val="00D94B36"/>
    <w:rsid w:val="00D96C94"/>
    <w:rsid w:val="00D9749E"/>
    <w:rsid w:val="00DA11C5"/>
    <w:rsid w:val="00DA3EEA"/>
    <w:rsid w:val="00DA5104"/>
    <w:rsid w:val="00DB133A"/>
    <w:rsid w:val="00DB22EF"/>
    <w:rsid w:val="00DB2C1D"/>
    <w:rsid w:val="00DB2D29"/>
    <w:rsid w:val="00DB4DD6"/>
    <w:rsid w:val="00DB5B22"/>
    <w:rsid w:val="00DB6029"/>
    <w:rsid w:val="00DC1204"/>
    <w:rsid w:val="00DC1236"/>
    <w:rsid w:val="00DC189B"/>
    <w:rsid w:val="00DC2C67"/>
    <w:rsid w:val="00DC4C91"/>
    <w:rsid w:val="00DC59FB"/>
    <w:rsid w:val="00DC5F51"/>
    <w:rsid w:val="00DC7701"/>
    <w:rsid w:val="00DD07C2"/>
    <w:rsid w:val="00DD0808"/>
    <w:rsid w:val="00DD2C12"/>
    <w:rsid w:val="00DD3A17"/>
    <w:rsid w:val="00DD3E50"/>
    <w:rsid w:val="00DD49A7"/>
    <w:rsid w:val="00DD547C"/>
    <w:rsid w:val="00DD5992"/>
    <w:rsid w:val="00DD737A"/>
    <w:rsid w:val="00DD763A"/>
    <w:rsid w:val="00DE0818"/>
    <w:rsid w:val="00DE0F67"/>
    <w:rsid w:val="00DE225C"/>
    <w:rsid w:val="00DE3ACA"/>
    <w:rsid w:val="00DE5175"/>
    <w:rsid w:val="00DE53DC"/>
    <w:rsid w:val="00DE7001"/>
    <w:rsid w:val="00DF0F09"/>
    <w:rsid w:val="00DF12F9"/>
    <w:rsid w:val="00DF1A1C"/>
    <w:rsid w:val="00DF2103"/>
    <w:rsid w:val="00DF285E"/>
    <w:rsid w:val="00DF2E54"/>
    <w:rsid w:val="00DF4762"/>
    <w:rsid w:val="00DF4815"/>
    <w:rsid w:val="00DF72D4"/>
    <w:rsid w:val="00E014FA"/>
    <w:rsid w:val="00E01D39"/>
    <w:rsid w:val="00E020AF"/>
    <w:rsid w:val="00E021B7"/>
    <w:rsid w:val="00E024BD"/>
    <w:rsid w:val="00E02C5F"/>
    <w:rsid w:val="00E02F93"/>
    <w:rsid w:val="00E033A3"/>
    <w:rsid w:val="00E03B56"/>
    <w:rsid w:val="00E041B2"/>
    <w:rsid w:val="00E04B86"/>
    <w:rsid w:val="00E10D58"/>
    <w:rsid w:val="00E152BF"/>
    <w:rsid w:val="00E1724C"/>
    <w:rsid w:val="00E17C8A"/>
    <w:rsid w:val="00E17EC3"/>
    <w:rsid w:val="00E20765"/>
    <w:rsid w:val="00E2497A"/>
    <w:rsid w:val="00E26710"/>
    <w:rsid w:val="00E27690"/>
    <w:rsid w:val="00E313D5"/>
    <w:rsid w:val="00E32BBC"/>
    <w:rsid w:val="00E3488B"/>
    <w:rsid w:val="00E34980"/>
    <w:rsid w:val="00E34F55"/>
    <w:rsid w:val="00E358AF"/>
    <w:rsid w:val="00E35E8A"/>
    <w:rsid w:val="00E36C1C"/>
    <w:rsid w:val="00E37616"/>
    <w:rsid w:val="00E3777B"/>
    <w:rsid w:val="00E37AB6"/>
    <w:rsid w:val="00E37B82"/>
    <w:rsid w:val="00E404F9"/>
    <w:rsid w:val="00E4164C"/>
    <w:rsid w:val="00E41C9F"/>
    <w:rsid w:val="00E421A8"/>
    <w:rsid w:val="00E43E57"/>
    <w:rsid w:val="00E43F7E"/>
    <w:rsid w:val="00E45877"/>
    <w:rsid w:val="00E45DCA"/>
    <w:rsid w:val="00E5050B"/>
    <w:rsid w:val="00E5073E"/>
    <w:rsid w:val="00E511A8"/>
    <w:rsid w:val="00E51490"/>
    <w:rsid w:val="00E51F4A"/>
    <w:rsid w:val="00E54889"/>
    <w:rsid w:val="00E54D3C"/>
    <w:rsid w:val="00E574FD"/>
    <w:rsid w:val="00E60CDC"/>
    <w:rsid w:val="00E6166A"/>
    <w:rsid w:val="00E619A1"/>
    <w:rsid w:val="00E63168"/>
    <w:rsid w:val="00E631F4"/>
    <w:rsid w:val="00E650EB"/>
    <w:rsid w:val="00E65A5C"/>
    <w:rsid w:val="00E65DFE"/>
    <w:rsid w:val="00E65F0D"/>
    <w:rsid w:val="00E67C98"/>
    <w:rsid w:val="00E70FFE"/>
    <w:rsid w:val="00E71BDD"/>
    <w:rsid w:val="00E73174"/>
    <w:rsid w:val="00E752E7"/>
    <w:rsid w:val="00E75642"/>
    <w:rsid w:val="00E757E8"/>
    <w:rsid w:val="00E762F0"/>
    <w:rsid w:val="00E76CAB"/>
    <w:rsid w:val="00E77C99"/>
    <w:rsid w:val="00E80545"/>
    <w:rsid w:val="00E81CC0"/>
    <w:rsid w:val="00E82556"/>
    <w:rsid w:val="00E831FB"/>
    <w:rsid w:val="00E83D36"/>
    <w:rsid w:val="00E83E12"/>
    <w:rsid w:val="00E840C8"/>
    <w:rsid w:val="00E842F0"/>
    <w:rsid w:val="00E84581"/>
    <w:rsid w:val="00E84817"/>
    <w:rsid w:val="00E84D78"/>
    <w:rsid w:val="00E85265"/>
    <w:rsid w:val="00E86361"/>
    <w:rsid w:val="00E93330"/>
    <w:rsid w:val="00E93F1A"/>
    <w:rsid w:val="00E94F7B"/>
    <w:rsid w:val="00E979B2"/>
    <w:rsid w:val="00EA032A"/>
    <w:rsid w:val="00EA1E9B"/>
    <w:rsid w:val="00EA2232"/>
    <w:rsid w:val="00EB0400"/>
    <w:rsid w:val="00EB2622"/>
    <w:rsid w:val="00EB4128"/>
    <w:rsid w:val="00EB53F1"/>
    <w:rsid w:val="00EB58D5"/>
    <w:rsid w:val="00EC10EA"/>
    <w:rsid w:val="00EC14C8"/>
    <w:rsid w:val="00EC38F1"/>
    <w:rsid w:val="00EC5069"/>
    <w:rsid w:val="00EC6142"/>
    <w:rsid w:val="00ED123D"/>
    <w:rsid w:val="00ED131A"/>
    <w:rsid w:val="00ED24C9"/>
    <w:rsid w:val="00ED382A"/>
    <w:rsid w:val="00ED4090"/>
    <w:rsid w:val="00ED4FFC"/>
    <w:rsid w:val="00ED51D5"/>
    <w:rsid w:val="00ED7360"/>
    <w:rsid w:val="00EE2525"/>
    <w:rsid w:val="00EE25D3"/>
    <w:rsid w:val="00EE4412"/>
    <w:rsid w:val="00EE4AFD"/>
    <w:rsid w:val="00EE4F4B"/>
    <w:rsid w:val="00EE5545"/>
    <w:rsid w:val="00EE7774"/>
    <w:rsid w:val="00EF02D6"/>
    <w:rsid w:val="00EF369F"/>
    <w:rsid w:val="00EF3A6B"/>
    <w:rsid w:val="00EF4F6E"/>
    <w:rsid w:val="00EF5788"/>
    <w:rsid w:val="00EF5A25"/>
    <w:rsid w:val="00EF5C25"/>
    <w:rsid w:val="00EF7636"/>
    <w:rsid w:val="00F03EF2"/>
    <w:rsid w:val="00F04987"/>
    <w:rsid w:val="00F07505"/>
    <w:rsid w:val="00F11FE8"/>
    <w:rsid w:val="00F12473"/>
    <w:rsid w:val="00F129DC"/>
    <w:rsid w:val="00F12B36"/>
    <w:rsid w:val="00F12CFC"/>
    <w:rsid w:val="00F14DA4"/>
    <w:rsid w:val="00F1657B"/>
    <w:rsid w:val="00F16F59"/>
    <w:rsid w:val="00F179B4"/>
    <w:rsid w:val="00F20783"/>
    <w:rsid w:val="00F207CC"/>
    <w:rsid w:val="00F21CC8"/>
    <w:rsid w:val="00F22130"/>
    <w:rsid w:val="00F226B6"/>
    <w:rsid w:val="00F23625"/>
    <w:rsid w:val="00F24A09"/>
    <w:rsid w:val="00F2519A"/>
    <w:rsid w:val="00F2587A"/>
    <w:rsid w:val="00F263C0"/>
    <w:rsid w:val="00F26B01"/>
    <w:rsid w:val="00F30094"/>
    <w:rsid w:val="00F308FC"/>
    <w:rsid w:val="00F31238"/>
    <w:rsid w:val="00F340A8"/>
    <w:rsid w:val="00F3520D"/>
    <w:rsid w:val="00F352F8"/>
    <w:rsid w:val="00F357D8"/>
    <w:rsid w:val="00F364EB"/>
    <w:rsid w:val="00F36B4A"/>
    <w:rsid w:val="00F375E2"/>
    <w:rsid w:val="00F419F2"/>
    <w:rsid w:val="00F433D5"/>
    <w:rsid w:val="00F44419"/>
    <w:rsid w:val="00F44FB5"/>
    <w:rsid w:val="00F4512E"/>
    <w:rsid w:val="00F45172"/>
    <w:rsid w:val="00F45B7D"/>
    <w:rsid w:val="00F475C3"/>
    <w:rsid w:val="00F47601"/>
    <w:rsid w:val="00F50906"/>
    <w:rsid w:val="00F50F12"/>
    <w:rsid w:val="00F51FB8"/>
    <w:rsid w:val="00F52863"/>
    <w:rsid w:val="00F539D1"/>
    <w:rsid w:val="00F55765"/>
    <w:rsid w:val="00F563BB"/>
    <w:rsid w:val="00F60301"/>
    <w:rsid w:val="00F60830"/>
    <w:rsid w:val="00F615C7"/>
    <w:rsid w:val="00F63349"/>
    <w:rsid w:val="00F66F75"/>
    <w:rsid w:val="00F675D4"/>
    <w:rsid w:val="00F67652"/>
    <w:rsid w:val="00F70584"/>
    <w:rsid w:val="00F707E8"/>
    <w:rsid w:val="00F70CC3"/>
    <w:rsid w:val="00F72BF6"/>
    <w:rsid w:val="00F73DC2"/>
    <w:rsid w:val="00F74580"/>
    <w:rsid w:val="00F76B3D"/>
    <w:rsid w:val="00F7711A"/>
    <w:rsid w:val="00F77B7D"/>
    <w:rsid w:val="00F80B0A"/>
    <w:rsid w:val="00F80CC4"/>
    <w:rsid w:val="00F812E4"/>
    <w:rsid w:val="00F81D6D"/>
    <w:rsid w:val="00F825E7"/>
    <w:rsid w:val="00F834C1"/>
    <w:rsid w:val="00F838AE"/>
    <w:rsid w:val="00F83EB6"/>
    <w:rsid w:val="00F854FC"/>
    <w:rsid w:val="00F85BCC"/>
    <w:rsid w:val="00F8755B"/>
    <w:rsid w:val="00F87981"/>
    <w:rsid w:val="00F90B06"/>
    <w:rsid w:val="00F913A8"/>
    <w:rsid w:val="00F91494"/>
    <w:rsid w:val="00F92FFB"/>
    <w:rsid w:val="00F9350A"/>
    <w:rsid w:val="00F94AFF"/>
    <w:rsid w:val="00F95A83"/>
    <w:rsid w:val="00F96304"/>
    <w:rsid w:val="00F9777E"/>
    <w:rsid w:val="00FA0969"/>
    <w:rsid w:val="00FA235F"/>
    <w:rsid w:val="00FA2C59"/>
    <w:rsid w:val="00FA3D79"/>
    <w:rsid w:val="00FA44A7"/>
    <w:rsid w:val="00FA4BEB"/>
    <w:rsid w:val="00FA4DFE"/>
    <w:rsid w:val="00FA5777"/>
    <w:rsid w:val="00FA587E"/>
    <w:rsid w:val="00FA5ADA"/>
    <w:rsid w:val="00FA5C0A"/>
    <w:rsid w:val="00FA5EB3"/>
    <w:rsid w:val="00FA79A1"/>
    <w:rsid w:val="00FA7CBC"/>
    <w:rsid w:val="00FB0BF5"/>
    <w:rsid w:val="00FB0EC6"/>
    <w:rsid w:val="00FB1E96"/>
    <w:rsid w:val="00FB1F53"/>
    <w:rsid w:val="00FB26C9"/>
    <w:rsid w:val="00FB3C8D"/>
    <w:rsid w:val="00FB3F8C"/>
    <w:rsid w:val="00FB411E"/>
    <w:rsid w:val="00FB4FD7"/>
    <w:rsid w:val="00FB756A"/>
    <w:rsid w:val="00FB772C"/>
    <w:rsid w:val="00FB7A0A"/>
    <w:rsid w:val="00FC10A0"/>
    <w:rsid w:val="00FC126B"/>
    <w:rsid w:val="00FC16F2"/>
    <w:rsid w:val="00FC3561"/>
    <w:rsid w:val="00FC370A"/>
    <w:rsid w:val="00FC38CB"/>
    <w:rsid w:val="00FC46FD"/>
    <w:rsid w:val="00FC4DEA"/>
    <w:rsid w:val="00FC63B4"/>
    <w:rsid w:val="00FC6E83"/>
    <w:rsid w:val="00FC78A2"/>
    <w:rsid w:val="00FC7A7D"/>
    <w:rsid w:val="00FC7CFB"/>
    <w:rsid w:val="00FD0D5E"/>
    <w:rsid w:val="00FD10E3"/>
    <w:rsid w:val="00FE01DC"/>
    <w:rsid w:val="00FE35B2"/>
    <w:rsid w:val="00FE419E"/>
    <w:rsid w:val="00FE4C14"/>
    <w:rsid w:val="00FE7060"/>
    <w:rsid w:val="00FF2A32"/>
    <w:rsid w:val="00FF2D32"/>
    <w:rsid w:val="00FF384C"/>
    <w:rsid w:val="00FF3B62"/>
    <w:rsid w:val="00FF3D84"/>
    <w:rsid w:val="00FF3E81"/>
    <w:rsid w:val="00FF4962"/>
    <w:rsid w:val="00FF5CF5"/>
    <w:rsid w:val="00FF606D"/>
    <w:rsid w:val="00FF70E8"/>
    <w:rsid w:val="012B7DDD"/>
    <w:rsid w:val="014852B3"/>
    <w:rsid w:val="0159301C"/>
    <w:rsid w:val="01830099"/>
    <w:rsid w:val="01864F5E"/>
    <w:rsid w:val="019F1377"/>
    <w:rsid w:val="01C20BC1"/>
    <w:rsid w:val="01C51F8E"/>
    <w:rsid w:val="01C761D7"/>
    <w:rsid w:val="020228E1"/>
    <w:rsid w:val="02092C94"/>
    <w:rsid w:val="0229484E"/>
    <w:rsid w:val="023349A8"/>
    <w:rsid w:val="024E06A7"/>
    <w:rsid w:val="02670DBC"/>
    <w:rsid w:val="02A227A1"/>
    <w:rsid w:val="02A725A1"/>
    <w:rsid w:val="02A92491"/>
    <w:rsid w:val="02AA38E4"/>
    <w:rsid w:val="02C20722"/>
    <w:rsid w:val="03265180"/>
    <w:rsid w:val="033C56B4"/>
    <w:rsid w:val="0348011B"/>
    <w:rsid w:val="03521021"/>
    <w:rsid w:val="03580C48"/>
    <w:rsid w:val="035E3634"/>
    <w:rsid w:val="036B5288"/>
    <w:rsid w:val="03A52548"/>
    <w:rsid w:val="03AE166E"/>
    <w:rsid w:val="03BB1D6C"/>
    <w:rsid w:val="03CA2DAD"/>
    <w:rsid w:val="03DD6186"/>
    <w:rsid w:val="03DF4E2F"/>
    <w:rsid w:val="03EC63C9"/>
    <w:rsid w:val="041621AB"/>
    <w:rsid w:val="043E369A"/>
    <w:rsid w:val="044455ED"/>
    <w:rsid w:val="04513DFC"/>
    <w:rsid w:val="045A77D7"/>
    <w:rsid w:val="04675A50"/>
    <w:rsid w:val="04763EE5"/>
    <w:rsid w:val="04770389"/>
    <w:rsid w:val="047B061D"/>
    <w:rsid w:val="049D3B67"/>
    <w:rsid w:val="04C9495C"/>
    <w:rsid w:val="05096CB8"/>
    <w:rsid w:val="054B46E5"/>
    <w:rsid w:val="054B711F"/>
    <w:rsid w:val="0563702D"/>
    <w:rsid w:val="058D14E6"/>
    <w:rsid w:val="05B13705"/>
    <w:rsid w:val="05BA3434"/>
    <w:rsid w:val="05BB6E5B"/>
    <w:rsid w:val="05C3442E"/>
    <w:rsid w:val="05D36CD8"/>
    <w:rsid w:val="05D606E7"/>
    <w:rsid w:val="05DE7BEA"/>
    <w:rsid w:val="060043AE"/>
    <w:rsid w:val="061C6EAD"/>
    <w:rsid w:val="062B68A0"/>
    <w:rsid w:val="062E2CC9"/>
    <w:rsid w:val="064F5803"/>
    <w:rsid w:val="064F75CD"/>
    <w:rsid w:val="0666041A"/>
    <w:rsid w:val="06694FE4"/>
    <w:rsid w:val="0671705A"/>
    <w:rsid w:val="06791363"/>
    <w:rsid w:val="069C61F2"/>
    <w:rsid w:val="069D7E4F"/>
    <w:rsid w:val="06A503E6"/>
    <w:rsid w:val="06A97571"/>
    <w:rsid w:val="06D51372"/>
    <w:rsid w:val="06E34F9B"/>
    <w:rsid w:val="06F97504"/>
    <w:rsid w:val="07032B99"/>
    <w:rsid w:val="070F6838"/>
    <w:rsid w:val="07462294"/>
    <w:rsid w:val="07735DDA"/>
    <w:rsid w:val="079E3E7E"/>
    <w:rsid w:val="079E7B1A"/>
    <w:rsid w:val="07A413B1"/>
    <w:rsid w:val="07B15465"/>
    <w:rsid w:val="07C5083E"/>
    <w:rsid w:val="07C759D1"/>
    <w:rsid w:val="07CF228A"/>
    <w:rsid w:val="07DB22E0"/>
    <w:rsid w:val="07E13D6B"/>
    <w:rsid w:val="08183C31"/>
    <w:rsid w:val="08400A92"/>
    <w:rsid w:val="084A4596"/>
    <w:rsid w:val="085F2DAD"/>
    <w:rsid w:val="086A136A"/>
    <w:rsid w:val="0904744F"/>
    <w:rsid w:val="093B6C39"/>
    <w:rsid w:val="094445B2"/>
    <w:rsid w:val="09570789"/>
    <w:rsid w:val="097F383C"/>
    <w:rsid w:val="099020AC"/>
    <w:rsid w:val="09AB1BA9"/>
    <w:rsid w:val="09B74D83"/>
    <w:rsid w:val="09DA557B"/>
    <w:rsid w:val="09DC0C8E"/>
    <w:rsid w:val="09FB7366"/>
    <w:rsid w:val="0A0E7F68"/>
    <w:rsid w:val="0A2F5985"/>
    <w:rsid w:val="0A431E1B"/>
    <w:rsid w:val="0A474359"/>
    <w:rsid w:val="0A634F0B"/>
    <w:rsid w:val="0A9A134F"/>
    <w:rsid w:val="0AE222D4"/>
    <w:rsid w:val="0AFB5144"/>
    <w:rsid w:val="0B1701D0"/>
    <w:rsid w:val="0B267D76"/>
    <w:rsid w:val="0B3F3C9B"/>
    <w:rsid w:val="0B550CF8"/>
    <w:rsid w:val="0B58658F"/>
    <w:rsid w:val="0B682A47"/>
    <w:rsid w:val="0B7A4A3F"/>
    <w:rsid w:val="0B9518B2"/>
    <w:rsid w:val="0BA31F88"/>
    <w:rsid w:val="0BA55182"/>
    <w:rsid w:val="0BBF7A1A"/>
    <w:rsid w:val="0BC25FDA"/>
    <w:rsid w:val="0BD67D63"/>
    <w:rsid w:val="0BE30377"/>
    <w:rsid w:val="0BE35FBA"/>
    <w:rsid w:val="0BE61692"/>
    <w:rsid w:val="0C0747EF"/>
    <w:rsid w:val="0C1619C4"/>
    <w:rsid w:val="0C264442"/>
    <w:rsid w:val="0C321B11"/>
    <w:rsid w:val="0C430B50"/>
    <w:rsid w:val="0C566AD6"/>
    <w:rsid w:val="0C657A2A"/>
    <w:rsid w:val="0C794DD4"/>
    <w:rsid w:val="0C7A56D7"/>
    <w:rsid w:val="0CAC2B9A"/>
    <w:rsid w:val="0CB85392"/>
    <w:rsid w:val="0CCB5D2B"/>
    <w:rsid w:val="0CD2244F"/>
    <w:rsid w:val="0CDD0822"/>
    <w:rsid w:val="0CEE7179"/>
    <w:rsid w:val="0CF72160"/>
    <w:rsid w:val="0CF8260A"/>
    <w:rsid w:val="0D084EB3"/>
    <w:rsid w:val="0D1725FA"/>
    <w:rsid w:val="0D2315F8"/>
    <w:rsid w:val="0D375680"/>
    <w:rsid w:val="0D4E2C3A"/>
    <w:rsid w:val="0DB02216"/>
    <w:rsid w:val="0DBD443E"/>
    <w:rsid w:val="0DD04666"/>
    <w:rsid w:val="0DDF0F27"/>
    <w:rsid w:val="0DEA3E37"/>
    <w:rsid w:val="0DF742E8"/>
    <w:rsid w:val="0E097B78"/>
    <w:rsid w:val="0E270073"/>
    <w:rsid w:val="0E6B6F5E"/>
    <w:rsid w:val="0E775414"/>
    <w:rsid w:val="0E8C4A31"/>
    <w:rsid w:val="0ED336D6"/>
    <w:rsid w:val="0EE06B2A"/>
    <w:rsid w:val="0EE662E6"/>
    <w:rsid w:val="0F0A6667"/>
    <w:rsid w:val="0F223E4A"/>
    <w:rsid w:val="0F2F1860"/>
    <w:rsid w:val="0F331350"/>
    <w:rsid w:val="0F3B5EB5"/>
    <w:rsid w:val="0FCC3777"/>
    <w:rsid w:val="0FF03862"/>
    <w:rsid w:val="100E0A5E"/>
    <w:rsid w:val="10153295"/>
    <w:rsid w:val="102F1A09"/>
    <w:rsid w:val="1040402D"/>
    <w:rsid w:val="10466418"/>
    <w:rsid w:val="10526300"/>
    <w:rsid w:val="10770D2C"/>
    <w:rsid w:val="108079E0"/>
    <w:rsid w:val="1092303F"/>
    <w:rsid w:val="10B95885"/>
    <w:rsid w:val="10BC4AFA"/>
    <w:rsid w:val="10C17002"/>
    <w:rsid w:val="10C70896"/>
    <w:rsid w:val="10E166B0"/>
    <w:rsid w:val="10E424B3"/>
    <w:rsid w:val="111523FC"/>
    <w:rsid w:val="114415F3"/>
    <w:rsid w:val="116A7E13"/>
    <w:rsid w:val="117435EC"/>
    <w:rsid w:val="118971D0"/>
    <w:rsid w:val="119A7465"/>
    <w:rsid w:val="119C37F2"/>
    <w:rsid w:val="11B322D4"/>
    <w:rsid w:val="11BC2459"/>
    <w:rsid w:val="11E86480"/>
    <w:rsid w:val="121B1B20"/>
    <w:rsid w:val="121D0DC5"/>
    <w:rsid w:val="12347FFB"/>
    <w:rsid w:val="1236646D"/>
    <w:rsid w:val="12390C8A"/>
    <w:rsid w:val="12514D11"/>
    <w:rsid w:val="12711084"/>
    <w:rsid w:val="12883761"/>
    <w:rsid w:val="12B1333A"/>
    <w:rsid w:val="12BB05CF"/>
    <w:rsid w:val="12C74B4E"/>
    <w:rsid w:val="130D3703"/>
    <w:rsid w:val="136A730B"/>
    <w:rsid w:val="13773E1C"/>
    <w:rsid w:val="13A2255E"/>
    <w:rsid w:val="13BA2040"/>
    <w:rsid w:val="13D16F9F"/>
    <w:rsid w:val="13D279C1"/>
    <w:rsid w:val="13D33102"/>
    <w:rsid w:val="13E96481"/>
    <w:rsid w:val="140544A5"/>
    <w:rsid w:val="143B74C7"/>
    <w:rsid w:val="144F2611"/>
    <w:rsid w:val="147F7E7F"/>
    <w:rsid w:val="14BC5944"/>
    <w:rsid w:val="14CF7F3A"/>
    <w:rsid w:val="14E335B4"/>
    <w:rsid w:val="15146085"/>
    <w:rsid w:val="152669A0"/>
    <w:rsid w:val="1536087D"/>
    <w:rsid w:val="15396F94"/>
    <w:rsid w:val="154A02B8"/>
    <w:rsid w:val="15520056"/>
    <w:rsid w:val="15724F07"/>
    <w:rsid w:val="157A42DA"/>
    <w:rsid w:val="157F52EF"/>
    <w:rsid w:val="15957EFA"/>
    <w:rsid w:val="1599024B"/>
    <w:rsid w:val="15995734"/>
    <w:rsid w:val="15A3093E"/>
    <w:rsid w:val="15AB269D"/>
    <w:rsid w:val="15B85CC6"/>
    <w:rsid w:val="15D8055B"/>
    <w:rsid w:val="15F979C1"/>
    <w:rsid w:val="161632E6"/>
    <w:rsid w:val="16351E52"/>
    <w:rsid w:val="163A1216"/>
    <w:rsid w:val="163B6097"/>
    <w:rsid w:val="16715D6C"/>
    <w:rsid w:val="16907088"/>
    <w:rsid w:val="16A74894"/>
    <w:rsid w:val="16B7055C"/>
    <w:rsid w:val="16B97548"/>
    <w:rsid w:val="16DF7B40"/>
    <w:rsid w:val="16E55B2F"/>
    <w:rsid w:val="16E82A20"/>
    <w:rsid w:val="171172B7"/>
    <w:rsid w:val="171A4BA4"/>
    <w:rsid w:val="171B2843"/>
    <w:rsid w:val="173D2ECA"/>
    <w:rsid w:val="174761EB"/>
    <w:rsid w:val="174D7D72"/>
    <w:rsid w:val="1751596F"/>
    <w:rsid w:val="179001C2"/>
    <w:rsid w:val="17B9260F"/>
    <w:rsid w:val="17BB1EE3"/>
    <w:rsid w:val="17BF337A"/>
    <w:rsid w:val="17DF32DF"/>
    <w:rsid w:val="17E31285"/>
    <w:rsid w:val="17E514E3"/>
    <w:rsid w:val="180369BF"/>
    <w:rsid w:val="180C273E"/>
    <w:rsid w:val="1811313D"/>
    <w:rsid w:val="18162DBA"/>
    <w:rsid w:val="181F06C4"/>
    <w:rsid w:val="1835151C"/>
    <w:rsid w:val="18532A8C"/>
    <w:rsid w:val="185E4F54"/>
    <w:rsid w:val="18612BB4"/>
    <w:rsid w:val="189B3AC2"/>
    <w:rsid w:val="18E06F20"/>
    <w:rsid w:val="18ED2570"/>
    <w:rsid w:val="190C6A04"/>
    <w:rsid w:val="19147F1C"/>
    <w:rsid w:val="191D42C0"/>
    <w:rsid w:val="192A2B8B"/>
    <w:rsid w:val="195D6EE2"/>
    <w:rsid w:val="19AE2FD7"/>
    <w:rsid w:val="19AF2792"/>
    <w:rsid w:val="19B117EF"/>
    <w:rsid w:val="19B439E3"/>
    <w:rsid w:val="19DB40C1"/>
    <w:rsid w:val="1A0C111B"/>
    <w:rsid w:val="1A1B3085"/>
    <w:rsid w:val="1A1F3D59"/>
    <w:rsid w:val="1A3A1238"/>
    <w:rsid w:val="1A465B04"/>
    <w:rsid w:val="1A6073D3"/>
    <w:rsid w:val="1A8C5C09"/>
    <w:rsid w:val="1AAC1FB7"/>
    <w:rsid w:val="1ACD36C2"/>
    <w:rsid w:val="1AFA5418"/>
    <w:rsid w:val="1B474D4C"/>
    <w:rsid w:val="1B486183"/>
    <w:rsid w:val="1B617181"/>
    <w:rsid w:val="1B6A1A0C"/>
    <w:rsid w:val="1B721452"/>
    <w:rsid w:val="1B750D67"/>
    <w:rsid w:val="1B9C64CF"/>
    <w:rsid w:val="1BA809D0"/>
    <w:rsid w:val="1BD24FF1"/>
    <w:rsid w:val="1C224C26"/>
    <w:rsid w:val="1C27452C"/>
    <w:rsid w:val="1C3109C5"/>
    <w:rsid w:val="1C33692A"/>
    <w:rsid w:val="1C4C1CA3"/>
    <w:rsid w:val="1C8E7BC6"/>
    <w:rsid w:val="1CC21F65"/>
    <w:rsid w:val="1CDC21AD"/>
    <w:rsid w:val="1CE75B2E"/>
    <w:rsid w:val="1CFD4D4B"/>
    <w:rsid w:val="1CFE430D"/>
    <w:rsid w:val="1D4C10B3"/>
    <w:rsid w:val="1D6D364B"/>
    <w:rsid w:val="1D7205FD"/>
    <w:rsid w:val="1D9613B5"/>
    <w:rsid w:val="1DA82CB4"/>
    <w:rsid w:val="1DD06133"/>
    <w:rsid w:val="1DEC54EC"/>
    <w:rsid w:val="1DED79FB"/>
    <w:rsid w:val="1DF85739"/>
    <w:rsid w:val="1E007281"/>
    <w:rsid w:val="1E030551"/>
    <w:rsid w:val="1E076CDB"/>
    <w:rsid w:val="1E0D64C6"/>
    <w:rsid w:val="1E276524"/>
    <w:rsid w:val="1E37476B"/>
    <w:rsid w:val="1E42118E"/>
    <w:rsid w:val="1E59394B"/>
    <w:rsid w:val="1E6432D4"/>
    <w:rsid w:val="1E6B5AF6"/>
    <w:rsid w:val="1E7C3E5B"/>
    <w:rsid w:val="1E87503B"/>
    <w:rsid w:val="1E9766DB"/>
    <w:rsid w:val="1ECC09DF"/>
    <w:rsid w:val="1EE84A9F"/>
    <w:rsid w:val="1EEC5C80"/>
    <w:rsid w:val="1F21585C"/>
    <w:rsid w:val="1F3D004E"/>
    <w:rsid w:val="1F552C1D"/>
    <w:rsid w:val="1F7A38D4"/>
    <w:rsid w:val="1F8B4890"/>
    <w:rsid w:val="1FA63478"/>
    <w:rsid w:val="1FBD7C1F"/>
    <w:rsid w:val="1FE372F6"/>
    <w:rsid w:val="1FE43000"/>
    <w:rsid w:val="1FFB3609"/>
    <w:rsid w:val="201957EF"/>
    <w:rsid w:val="202D76F6"/>
    <w:rsid w:val="203D1931"/>
    <w:rsid w:val="203E7B55"/>
    <w:rsid w:val="204A5E07"/>
    <w:rsid w:val="20555709"/>
    <w:rsid w:val="205E3D53"/>
    <w:rsid w:val="206B09A4"/>
    <w:rsid w:val="20AD3D24"/>
    <w:rsid w:val="20BB7FA8"/>
    <w:rsid w:val="20C50F8C"/>
    <w:rsid w:val="20F45DA3"/>
    <w:rsid w:val="20FA7F20"/>
    <w:rsid w:val="21182E9A"/>
    <w:rsid w:val="211A10A0"/>
    <w:rsid w:val="21427E7A"/>
    <w:rsid w:val="217215EC"/>
    <w:rsid w:val="21871088"/>
    <w:rsid w:val="21893F21"/>
    <w:rsid w:val="21B225A8"/>
    <w:rsid w:val="21C520D8"/>
    <w:rsid w:val="21D520B1"/>
    <w:rsid w:val="21D818E3"/>
    <w:rsid w:val="221548E5"/>
    <w:rsid w:val="221646A2"/>
    <w:rsid w:val="223A4AF5"/>
    <w:rsid w:val="22812CC4"/>
    <w:rsid w:val="22965358"/>
    <w:rsid w:val="229E37EE"/>
    <w:rsid w:val="22B660C8"/>
    <w:rsid w:val="22C205C9"/>
    <w:rsid w:val="22EA7B20"/>
    <w:rsid w:val="22EF210C"/>
    <w:rsid w:val="22F83856"/>
    <w:rsid w:val="231A178A"/>
    <w:rsid w:val="232218C0"/>
    <w:rsid w:val="23340CB1"/>
    <w:rsid w:val="2355309A"/>
    <w:rsid w:val="235F60DF"/>
    <w:rsid w:val="2362240E"/>
    <w:rsid w:val="23672943"/>
    <w:rsid w:val="23711FEF"/>
    <w:rsid w:val="2386715D"/>
    <w:rsid w:val="23885FA6"/>
    <w:rsid w:val="239B0E1A"/>
    <w:rsid w:val="23B16362"/>
    <w:rsid w:val="23C063C0"/>
    <w:rsid w:val="23E40A13"/>
    <w:rsid w:val="23E942A8"/>
    <w:rsid w:val="23FA3D93"/>
    <w:rsid w:val="23FA50C3"/>
    <w:rsid w:val="242E6C1C"/>
    <w:rsid w:val="243C6841"/>
    <w:rsid w:val="244031B8"/>
    <w:rsid w:val="24614264"/>
    <w:rsid w:val="24767A12"/>
    <w:rsid w:val="24833D88"/>
    <w:rsid w:val="24AF2A71"/>
    <w:rsid w:val="24C870DC"/>
    <w:rsid w:val="24F609FE"/>
    <w:rsid w:val="25167062"/>
    <w:rsid w:val="25657932"/>
    <w:rsid w:val="257858B7"/>
    <w:rsid w:val="2584600A"/>
    <w:rsid w:val="258C4EBE"/>
    <w:rsid w:val="25901B6D"/>
    <w:rsid w:val="259A5372"/>
    <w:rsid w:val="25B61F3B"/>
    <w:rsid w:val="25CB1EA0"/>
    <w:rsid w:val="25DC1FB6"/>
    <w:rsid w:val="25DD571A"/>
    <w:rsid w:val="25E20F82"/>
    <w:rsid w:val="25EA3692"/>
    <w:rsid w:val="26042DCA"/>
    <w:rsid w:val="26080125"/>
    <w:rsid w:val="261750D0"/>
    <w:rsid w:val="26233A75"/>
    <w:rsid w:val="262B33D8"/>
    <w:rsid w:val="262F2053"/>
    <w:rsid w:val="26357304"/>
    <w:rsid w:val="263C68E5"/>
    <w:rsid w:val="263F62F6"/>
    <w:rsid w:val="263F7247"/>
    <w:rsid w:val="264B1BD6"/>
    <w:rsid w:val="266100F9"/>
    <w:rsid w:val="268F45FC"/>
    <w:rsid w:val="268F7B00"/>
    <w:rsid w:val="26A9532E"/>
    <w:rsid w:val="26D367DD"/>
    <w:rsid w:val="26E73C6C"/>
    <w:rsid w:val="26E93094"/>
    <w:rsid w:val="26EC503A"/>
    <w:rsid w:val="26FA02EF"/>
    <w:rsid w:val="275A2975"/>
    <w:rsid w:val="27673EA5"/>
    <w:rsid w:val="27DA1959"/>
    <w:rsid w:val="27DD5EA5"/>
    <w:rsid w:val="27E502C1"/>
    <w:rsid w:val="280D061C"/>
    <w:rsid w:val="28247630"/>
    <w:rsid w:val="283B17BD"/>
    <w:rsid w:val="283D06F2"/>
    <w:rsid w:val="284052CB"/>
    <w:rsid w:val="284101E2"/>
    <w:rsid w:val="284A4F82"/>
    <w:rsid w:val="284B6D55"/>
    <w:rsid w:val="288051AE"/>
    <w:rsid w:val="28926C90"/>
    <w:rsid w:val="289B0513"/>
    <w:rsid w:val="28B14DB5"/>
    <w:rsid w:val="28C64B8B"/>
    <w:rsid w:val="28D337AC"/>
    <w:rsid w:val="290336EA"/>
    <w:rsid w:val="290B259E"/>
    <w:rsid w:val="291A5277"/>
    <w:rsid w:val="292559B5"/>
    <w:rsid w:val="29A053DC"/>
    <w:rsid w:val="29AB39DE"/>
    <w:rsid w:val="29B93B1D"/>
    <w:rsid w:val="29BC45EC"/>
    <w:rsid w:val="29C75CEA"/>
    <w:rsid w:val="29E22756"/>
    <w:rsid w:val="29E4176D"/>
    <w:rsid w:val="2A14456D"/>
    <w:rsid w:val="2A1F4553"/>
    <w:rsid w:val="2A5341FD"/>
    <w:rsid w:val="2A5A1A2F"/>
    <w:rsid w:val="2A822288"/>
    <w:rsid w:val="2A842608"/>
    <w:rsid w:val="2A8940C2"/>
    <w:rsid w:val="2AAE58D7"/>
    <w:rsid w:val="2ACD3296"/>
    <w:rsid w:val="2AD84EF3"/>
    <w:rsid w:val="2AD9529C"/>
    <w:rsid w:val="2B053C61"/>
    <w:rsid w:val="2B277B9B"/>
    <w:rsid w:val="2B5F4B43"/>
    <w:rsid w:val="2B646EF5"/>
    <w:rsid w:val="2B75374E"/>
    <w:rsid w:val="2B757007"/>
    <w:rsid w:val="2B783CBF"/>
    <w:rsid w:val="2BA4255C"/>
    <w:rsid w:val="2BE64D82"/>
    <w:rsid w:val="2BEE0681"/>
    <w:rsid w:val="2BEF7F55"/>
    <w:rsid w:val="2BFE6F2A"/>
    <w:rsid w:val="2C061F90"/>
    <w:rsid w:val="2C131E96"/>
    <w:rsid w:val="2C161986"/>
    <w:rsid w:val="2C217517"/>
    <w:rsid w:val="2C2A71DF"/>
    <w:rsid w:val="2C6941AB"/>
    <w:rsid w:val="2C697D08"/>
    <w:rsid w:val="2C916B31"/>
    <w:rsid w:val="2CAF6062"/>
    <w:rsid w:val="2CCD473A"/>
    <w:rsid w:val="2CE930A5"/>
    <w:rsid w:val="2CF77A09"/>
    <w:rsid w:val="2D08102D"/>
    <w:rsid w:val="2D3B5B48"/>
    <w:rsid w:val="2D49120C"/>
    <w:rsid w:val="2D5C205E"/>
    <w:rsid w:val="2D731443"/>
    <w:rsid w:val="2D915768"/>
    <w:rsid w:val="2D9858FF"/>
    <w:rsid w:val="2D9C572C"/>
    <w:rsid w:val="2DAF6460"/>
    <w:rsid w:val="2DB26E99"/>
    <w:rsid w:val="2DB604CD"/>
    <w:rsid w:val="2DBD3865"/>
    <w:rsid w:val="2DDA5CCE"/>
    <w:rsid w:val="2DE92013"/>
    <w:rsid w:val="2DEA131C"/>
    <w:rsid w:val="2DEC308B"/>
    <w:rsid w:val="2DFA2D34"/>
    <w:rsid w:val="2DFB7085"/>
    <w:rsid w:val="2E1D6FFC"/>
    <w:rsid w:val="2E286576"/>
    <w:rsid w:val="2E2B45F6"/>
    <w:rsid w:val="2E583D16"/>
    <w:rsid w:val="2E894691"/>
    <w:rsid w:val="2E984251"/>
    <w:rsid w:val="2EB57234"/>
    <w:rsid w:val="2ECC1AD7"/>
    <w:rsid w:val="2ED028A0"/>
    <w:rsid w:val="2EDA1AB8"/>
    <w:rsid w:val="2F0A4A20"/>
    <w:rsid w:val="2F4A3E20"/>
    <w:rsid w:val="2F571C13"/>
    <w:rsid w:val="2F5F2911"/>
    <w:rsid w:val="2F666780"/>
    <w:rsid w:val="2F95148B"/>
    <w:rsid w:val="2FA01C92"/>
    <w:rsid w:val="2FA916F6"/>
    <w:rsid w:val="2FBB6ACC"/>
    <w:rsid w:val="2FD10D7E"/>
    <w:rsid w:val="2FE7501E"/>
    <w:rsid w:val="2FEE229F"/>
    <w:rsid w:val="2FF1361F"/>
    <w:rsid w:val="30117249"/>
    <w:rsid w:val="30650573"/>
    <w:rsid w:val="30795651"/>
    <w:rsid w:val="30A5072E"/>
    <w:rsid w:val="30D03CAC"/>
    <w:rsid w:val="30EF1041"/>
    <w:rsid w:val="31411253"/>
    <w:rsid w:val="315C3579"/>
    <w:rsid w:val="316F57BA"/>
    <w:rsid w:val="31DB1BB4"/>
    <w:rsid w:val="31F56A71"/>
    <w:rsid w:val="32004C6A"/>
    <w:rsid w:val="322712A9"/>
    <w:rsid w:val="323E5964"/>
    <w:rsid w:val="328D353D"/>
    <w:rsid w:val="32984064"/>
    <w:rsid w:val="32A4206E"/>
    <w:rsid w:val="32AA32D9"/>
    <w:rsid w:val="32AB7B01"/>
    <w:rsid w:val="32BB1AFA"/>
    <w:rsid w:val="32C91500"/>
    <w:rsid w:val="32DD00D7"/>
    <w:rsid w:val="32E40F3F"/>
    <w:rsid w:val="330C5088"/>
    <w:rsid w:val="331C5AD4"/>
    <w:rsid w:val="333B6EC9"/>
    <w:rsid w:val="333C7C44"/>
    <w:rsid w:val="334409AC"/>
    <w:rsid w:val="335B5869"/>
    <w:rsid w:val="33694A91"/>
    <w:rsid w:val="336D0CBA"/>
    <w:rsid w:val="336D3B65"/>
    <w:rsid w:val="33724E27"/>
    <w:rsid w:val="337255FF"/>
    <w:rsid w:val="33893878"/>
    <w:rsid w:val="3398583C"/>
    <w:rsid w:val="33AC78A2"/>
    <w:rsid w:val="33B57CD6"/>
    <w:rsid w:val="33C9214B"/>
    <w:rsid w:val="33E416E1"/>
    <w:rsid w:val="33EA3E24"/>
    <w:rsid w:val="33FD0D56"/>
    <w:rsid w:val="340D7226"/>
    <w:rsid w:val="34111DA4"/>
    <w:rsid w:val="34467F01"/>
    <w:rsid w:val="344A6670"/>
    <w:rsid w:val="3463024B"/>
    <w:rsid w:val="3475205E"/>
    <w:rsid w:val="34752B50"/>
    <w:rsid w:val="34846173"/>
    <w:rsid w:val="34BA1491"/>
    <w:rsid w:val="34C32AF4"/>
    <w:rsid w:val="34F80754"/>
    <w:rsid w:val="34FC4874"/>
    <w:rsid w:val="35145285"/>
    <w:rsid w:val="35260E8C"/>
    <w:rsid w:val="352B64A2"/>
    <w:rsid w:val="3542559A"/>
    <w:rsid w:val="356B0605"/>
    <w:rsid w:val="3576509E"/>
    <w:rsid w:val="357A0902"/>
    <w:rsid w:val="35A80335"/>
    <w:rsid w:val="35BE5DA6"/>
    <w:rsid w:val="35CF7694"/>
    <w:rsid w:val="35D703D8"/>
    <w:rsid w:val="35D73F8D"/>
    <w:rsid w:val="35E61EE5"/>
    <w:rsid w:val="360141E1"/>
    <w:rsid w:val="363F1747"/>
    <w:rsid w:val="364165C5"/>
    <w:rsid w:val="36651976"/>
    <w:rsid w:val="369A149D"/>
    <w:rsid w:val="36B44275"/>
    <w:rsid w:val="36B9188B"/>
    <w:rsid w:val="36C02C1A"/>
    <w:rsid w:val="36C46BAE"/>
    <w:rsid w:val="36ED7B58"/>
    <w:rsid w:val="370F4CD1"/>
    <w:rsid w:val="3715609B"/>
    <w:rsid w:val="3715740A"/>
    <w:rsid w:val="371A116E"/>
    <w:rsid w:val="37490E61"/>
    <w:rsid w:val="376A084F"/>
    <w:rsid w:val="377A3774"/>
    <w:rsid w:val="37906A90"/>
    <w:rsid w:val="379A65E9"/>
    <w:rsid w:val="37BA1D5F"/>
    <w:rsid w:val="37CC4E92"/>
    <w:rsid w:val="37E71B96"/>
    <w:rsid w:val="380F1965"/>
    <w:rsid w:val="381B22F3"/>
    <w:rsid w:val="384D7149"/>
    <w:rsid w:val="38563836"/>
    <w:rsid w:val="38C904AC"/>
    <w:rsid w:val="38CE5AC2"/>
    <w:rsid w:val="38EC01D6"/>
    <w:rsid w:val="38EF5A38"/>
    <w:rsid w:val="3911747C"/>
    <w:rsid w:val="391E79D0"/>
    <w:rsid w:val="39203C7B"/>
    <w:rsid w:val="393045D1"/>
    <w:rsid w:val="39843BDD"/>
    <w:rsid w:val="399D7C36"/>
    <w:rsid w:val="39BC6705"/>
    <w:rsid w:val="39D4769E"/>
    <w:rsid w:val="3A092B2A"/>
    <w:rsid w:val="3A281202"/>
    <w:rsid w:val="3A4B3390"/>
    <w:rsid w:val="3A5B36EB"/>
    <w:rsid w:val="3A6D60AA"/>
    <w:rsid w:val="3A7334BC"/>
    <w:rsid w:val="3AEB7272"/>
    <w:rsid w:val="3B1D7941"/>
    <w:rsid w:val="3B4B76C6"/>
    <w:rsid w:val="3B742225"/>
    <w:rsid w:val="3B894CA8"/>
    <w:rsid w:val="3BC76DDC"/>
    <w:rsid w:val="3C1B3742"/>
    <w:rsid w:val="3C3F3B8F"/>
    <w:rsid w:val="3C51090B"/>
    <w:rsid w:val="3C662E76"/>
    <w:rsid w:val="3C75334C"/>
    <w:rsid w:val="3CAA20D7"/>
    <w:rsid w:val="3CC34DD6"/>
    <w:rsid w:val="3CDA0010"/>
    <w:rsid w:val="3CE2616E"/>
    <w:rsid w:val="3CE76AB3"/>
    <w:rsid w:val="3CEA0CCD"/>
    <w:rsid w:val="3D0F25BB"/>
    <w:rsid w:val="3D283CBC"/>
    <w:rsid w:val="3D2B24EF"/>
    <w:rsid w:val="3D394539"/>
    <w:rsid w:val="3D4A148F"/>
    <w:rsid w:val="3D723ED9"/>
    <w:rsid w:val="3DBC5E2A"/>
    <w:rsid w:val="3DDB658B"/>
    <w:rsid w:val="3DE244D8"/>
    <w:rsid w:val="3DE30AAA"/>
    <w:rsid w:val="3E08164B"/>
    <w:rsid w:val="3E1026D9"/>
    <w:rsid w:val="3E18158D"/>
    <w:rsid w:val="3E467EA9"/>
    <w:rsid w:val="3E530422"/>
    <w:rsid w:val="3E59146A"/>
    <w:rsid w:val="3E9C21BE"/>
    <w:rsid w:val="3EB17974"/>
    <w:rsid w:val="3ED25A37"/>
    <w:rsid w:val="3EDA1724"/>
    <w:rsid w:val="3EE862E3"/>
    <w:rsid w:val="3EEC6C2B"/>
    <w:rsid w:val="3EF50C5D"/>
    <w:rsid w:val="3F0F4D44"/>
    <w:rsid w:val="3F397A0D"/>
    <w:rsid w:val="3F6259D5"/>
    <w:rsid w:val="3F9220E0"/>
    <w:rsid w:val="3F95113E"/>
    <w:rsid w:val="3FB51BD1"/>
    <w:rsid w:val="3FC05C00"/>
    <w:rsid w:val="3FE0234D"/>
    <w:rsid w:val="400B3158"/>
    <w:rsid w:val="402F2585"/>
    <w:rsid w:val="403F1053"/>
    <w:rsid w:val="405B6DAC"/>
    <w:rsid w:val="40A614D2"/>
    <w:rsid w:val="40A80AB8"/>
    <w:rsid w:val="40CA6425"/>
    <w:rsid w:val="40E4349D"/>
    <w:rsid w:val="40E5382C"/>
    <w:rsid w:val="40FC1F60"/>
    <w:rsid w:val="4113188F"/>
    <w:rsid w:val="4125649B"/>
    <w:rsid w:val="413A754B"/>
    <w:rsid w:val="415236E3"/>
    <w:rsid w:val="41597CC1"/>
    <w:rsid w:val="41683447"/>
    <w:rsid w:val="41717301"/>
    <w:rsid w:val="418D2521"/>
    <w:rsid w:val="41AF2209"/>
    <w:rsid w:val="41E6083A"/>
    <w:rsid w:val="42057E7E"/>
    <w:rsid w:val="421E1F9E"/>
    <w:rsid w:val="42305812"/>
    <w:rsid w:val="42384F07"/>
    <w:rsid w:val="426018CC"/>
    <w:rsid w:val="42686BAA"/>
    <w:rsid w:val="42833013"/>
    <w:rsid w:val="429606A4"/>
    <w:rsid w:val="42AD499A"/>
    <w:rsid w:val="42B77F6E"/>
    <w:rsid w:val="42BE3F1D"/>
    <w:rsid w:val="42CD6DEA"/>
    <w:rsid w:val="42E90154"/>
    <w:rsid w:val="430431DE"/>
    <w:rsid w:val="43076135"/>
    <w:rsid w:val="43195C08"/>
    <w:rsid w:val="433B35D6"/>
    <w:rsid w:val="43762FDE"/>
    <w:rsid w:val="438F07BD"/>
    <w:rsid w:val="439033CE"/>
    <w:rsid w:val="4404683C"/>
    <w:rsid w:val="440F5480"/>
    <w:rsid w:val="4420240D"/>
    <w:rsid w:val="447D214A"/>
    <w:rsid w:val="44867251"/>
    <w:rsid w:val="448750D5"/>
    <w:rsid w:val="448F2D07"/>
    <w:rsid w:val="44A031B9"/>
    <w:rsid w:val="44C1472D"/>
    <w:rsid w:val="44DD11BB"/>
    <w:rsid w:val="44E27493"/>
    <w:rsid w:val="44E402EA"/>
    <w:rsid w:val="44F765B1"/>
    <w:rsid w:val="451A447E"/>
    <w:rsid w:val="452E775D"/>
    <w:rsid w:val="45684BA8"/>
    <w:rsid w:val="45854740"/>
    <w:rsid w:val="45872B4C"/>
    <w:rsid w:val="45A8769B"/>
    <w:rsid w:val="45C762B0"/>
    <w:rsid w:val="45EF5984"/>
    <w:rsid w:val="45F71C8C"/>
    <w:rsid w:val="46162856"/>
    <w:rsid w:val="46453CCA"/>
    <w:rsid w:val="467F102E"/>
    <w:rsid w:val="469A56E5"/>
    <w:rsid w:val="469B671E"/>
    <w:rsid w:val="46AD39AC"/>
    <w:rsid w:val="46BA25A2"/>
    <w:rsid w:val="46D77C4F"/>
    <w:rsid w:val="470502D2"/>
    <w:rsid w:val="47084501"/>
    <w:rsid w:val="47176886"/>
    <w:rsid w:val="47331907"/>
    <w:rsid w:val="476200D8"/>
    <w:rsid w:val="4770243A"/>
    <w:rsid w:val="47811F51"/>
    <w:rsid w:val="479F062A"/>
    <w:rsid w:val="47A85730"/>
    <w:rsid w:val="47B73BC5"/>
    <w:rsid w:val="47E90B84"/>
    <w:rsid w:val="47FB0043"/>
    <w:rsid w:val="480E5012"/>
    <w:rsid w:val="480E5EDB"/>
    <w:rsid w:val="48286871"/>
    <w:rsid w:val="48502F8D"/>
    <w:rsid w:val="485633DE"/>
    <w:rsid w:val="486D24D6"/>
    <w:rsid w:val="486D3DF7"/>
    <w:rsid w:val="48783354"/>
    <w:rsid w:val="48786495"/>
    <w:rsid w:val="488F6BA7"/>
    <w:rsid w:val="48E34405"/>
    <w:rsid w:val="48F90658"/>
    <w:rsid w:val="48FC620B"/>
    <w:rsid w:val="491017DF"/>
    <w:rsid w:val="49172B6D"/>
    <w:rsid w:val="491F2F36"/>
    <w:rsid w:val="49442CE4"/>
    <w:rsid w:val="4948541D"/>
    <w:rsid w:val="494D2D45"/>
    <w:rsid w:val="4956104D"/>
    <w:rsid w:val="495C67D2"/>
    <w:rsid w:val="496F2353"/>
    <w:rsid w:val="497E2BEC"/>
    <w:rsid w:val="49E429CC"/>
    <w:rsid w:val="49EF2A64"/>
    <w:rsid w:val="49F338F1"/>
    <w:rsid w:val="4A2539A5"/>
    <w:rsid w:val="4A6718D3"/>
    <w:rsid w:val="4A6C7784"/>
    <w:rsid w:val="4A7B35D0"/>
    <w:rsid w:val="4A8E4B25"/>
    <w:rsid w:val="4A92103F"/>
    <w:rsid w:val="4A9621B8"/>
    <w:rsid w:val="4AA523FB"/>
    <w:rsid w:val="4AB4050D"/>
    <w:rsid w:val="4ABF6917"/>
    <w:rsid w:val="4ADB665F"/>
    <w:rsid w:val="4ADF6007"/>
    <w:rsid w:val="4AEA1B33"/>
    <w:rsid w:val="4AF339B0"/>
    <w:rsid w:val="4AF62C56"/>
    <w:rsid w:val="4AFD6B32"/>
    <w:rsid w:val="4B0E2331"/>
    <w:rsid w:val="4B2622BF"/>
    <w:rsid w:val="4B4340EE"/>
    <w:rsid w:val="4B4A242B"/>
    <w:rsid w:val="4B7433F2"/>
    <w:rsid w:val="4B85120C"/>
    <w:rsid w:val="4B9974CB"/>
    <w:rsid w:val="4BBA081D"/>
    <w:rsid w:val="4BCE0293"/>
    <w:rsid w:val="4BE144D7"/>
    <w:rsid w:val="4BE30C7D"/>
    <w:rsid w:val="4C5115BA"/>
    <w:rsid w:val="4C797593"/>
    <w:rsid w:val="4C876F35"/>
    <w:rsid w:val="4C8B26FF"/>
    <w:rsid w:val="4CB86415"/>
    <w:rsid w:val="4CCD0D31"/>
    <w:rsid w:val="4CCF0233"/>
    <w:rsid w:val="4CD86AB8"/>
    <w:rsid w:val="4CEC4311"/>
    <w:rsid w:val="4D0D1DA6"/>
    <w:rsid w:val="4D3A1520"/>
    <w:rsid w:val="4D4669EA"/>
    <w:rsid w:val="4D546B2F"/>
    <w:rsid w:val="4D814A59"/>
    <w:rsid w:val="4D98552F"/>
    <w:rsid w:val="4D9C4D8E"/>
    <w:rsid w:val="4D9E4168"/>
    <w:rsid w:val="4DC25072"/>
    <w:rsid w:val="4E061402"/>
    <w:rsid w:val="4E0F02B7"/>
    <w:rsid w:val="4E2034A1"/>
    <w:rsid w:val="4E342044"/>
    <w:rsid w:val="4E3E4797"/>
    <w:rsid w:val="4E5E4491"/>
    <w:rsid w:val="4E612ADD"/>
    <w:rsid w:val="4E7559DB"/>
    <w:rsid w:val="4E993EBA"/>
    <w:rsid w:val="4EA653EE"/>
    <w:rsid w:val="4EDB463D"/>
    <w:rsid w:val="4EDF237F"/>
    <w:rsid w:val="4EFE032C"/>
    <w:rsid w:val="4EFE3B27"/>
    <w:rsid w:val="4F05790C"/>
    <w:rsid w:val="4F18319B"/>
    <w:rsid w:val="4F4B6B13"/>
    <w:rsid w:val="4F626444"/>
    <w:rsid w:val="4FB0065F"/>
    <w:rsid w:val="4FC06786"/>
    <w:rsid w:val="4FE237A9"/>
    <w:rsid w:val="50097F1E"/>
    <w:rsid w:val="501871CB"/>
    <w:rsid w:val="50455017"/>
    <w:rsid w:val="50730568"/>
    <w:rsid w:val="50853A11"/>
    <w:rsid w:val="50923258"/>
    <w:rsid w:val="50A611C3"/>
    <w:rsid w:val="50B773E8"/>
    <w:rsid w:val="50EA627B"/>
    <w:rsid w:val="50EB3BD5"/>
    <w:rsid w:val="51010BDC"/>
    <w:rsid w:val="510F3D41"/>
    <w:rsid w:val="51172ED4"/>
    <w:rsid w:val="51473DE5"/>
    <w:rsid w:val="51502268"/>
    <w:rsid w:val="5153495F"/>
    <w:rsid w:val="51564664"/>
    <w:rsid w:val="51644DBE"/>
    <w:rsid w:val="51720EBB"/>
    <w:rsid w:val="51785E5F"/>
    <w:rsid w:val="51A76DBA"/>
    <w:rsid w:val="51C4760A"/>
    <w:rsid w:val="51CA26C4"/>
    <w:rsid w:val="51EE28D9"/>
    <w:rsid w:val="520C5F3A"/>
    <w:rsid w:val="520E5726"/>
    <w:rsid w:val="521105B8"/>
    <w:rsid w:val="522B6B68"/>
    <w:rsid w:val="52810F35"/>
    <w:rsid w:val="528E6CB7"/>
    <w:rsid w:val="52AD0C2E"/>
    <w:rsid w:val="52B46491"/>
    <w:rsid w:val="52B534C8"/>
    <w:rsid w:val="52C41E99"/>
    <w:rsid w:val="52F20DDD"/>
    <w:rsid w:val="53046F36"/>
    <w:rsid w:val="53130849"/>
    <w:rsid w:val="531620E8"/>
    <w:rsid w:val="531E556A"/>
    <w:rsid w:val="53230361"/>
    <w:rsid w:val="532A16EF"/>
    <w:rsid w:val="53320817"/>
    <w:rsid w:val="536A7E68"/>
    <w:rsid w:val="536E3A6D"/>
    <w:rsid w:val="53746E0E"/>
    <w:rsid w:val="53795E67"/>
    <w:rsid w:val="538560B6"/>
    <w:rsid w:val="538E1114"/>
    <w:rsid w:val="53CF5514"/>
    <w:rsid w:val="53EE07B2"/>
    <w:rsid w:val="54494485"/>
    <w:rsid w:val="544D38E7"/>
    <w:rsid w:val="54767BE2"/>
    <w:rsid w:val="54832B62"/>
    <w:rsid w:val="548433C1"/>
    <w:rsid w:val="549C72D9"/>
    <w:rsid w:val="54A235B3"/>
    <w:rsid w:val="54AD3AC2"/>
    <w:rsid w:val="54D113B9"/>
    <w:rsid w:val="54DC74AC"/>
    <w:rsid w:val="54E12281"/>
    <w:rsid w:val="54EF0E42"/>
    <w:rsid w:val="54FD13C2"/>
    <w:rsid w:val="550B7297"/>
    <w:rsid w:val="55222FC6"/>
    <w:rsid w:val="552264FE"/>
    <w:rsid w:val="552F7491"/>
    <w:rsid w:val="55307D8F"/>
    <w:rsid w:val="5539030F"/>
    <w:rsid w:val="553E104D"/>
    <w:rsid w:val="55545189"/>
    <w:rsid w:val="55702142"/>
    <w:rsid w:val="55741347"/>
    <w:rsid w:val="557F74FF"/>
    <w:rsid w:val="55990DAE"/>
    <w:rsid w:val="559E68DC"/>
    <w:rsid w:val="55AE2AAB"/>
    <w:rsid w:val="55AE3F95"/>
    <w:rsid w:val="55DB3175"/>
    <w:rsid w:val="55E76ADB"/>
    <w:rsid w:val="55EE4C56"/>
    <w:rsid w:val="56000113"/>
    <w:rsid w:val="56004989"/>
    <w:rsid w:val="560348AE"/>
    <w:rsid w:val="56286168"/>
    <w:rsid w:val="56310962"/>
    <w:rsid w:val="56554CD5"/>
    <w:rsid w:val="566F3CE0"/>
    <w:rsid w:val="56746B8D"/>
    <w:rsid w:val="56847368"/>
    <w:rsid w:val="568B06F7"/>
    <w:rsid w:val="569E6C6C"/>
    <w:rsid w:val="56AF6F6B"/>
    <w:rsid w:val="56BF6D18"/>
    <w:rsid w:val="56D17C19"/>
    <w:rsid w:val="56E625F7"/>
    <w:rsid w:val="570145E3"/>
    <w:rsid w:val="57124E9B"/>
    <w:rsid w:val="573C18CD"/>
    <w:rsid w:val="574865E8"/>
    <w:rsid w:val="574F7976"/>
    <w:rsid w:val="57562E07"/>
    <w:rsid w:val="5757399E"/>
    <w:rsid w:val="575E5E0B"/>
    <w:rsid w:val="57653165"/>
    <w:rsid w:val="577D0987"/>
    <w:rsid w:val="579527AF"/>
    <w:rsid w:val="57B70C2C"/>
    <w:rsid w:val="57C33F3A"/>
    <w:rsid w:val="57D305A7"/>
    <w:rsid w:val="57DF519E"/>
    <w:rsid w:val="57E127FA"/>
    <w:rsid w:val="580C5867"/>
    <w:rsid w:val="585C67EF"/>
    <w:rsid w:val="58710501"/>
    <w:rsid w:val="58736D39"/>
    <w:rsid w:val="5877012B"/>
    <w:rsid w:val="5889335C"/>
    <w:rsid w:val="58992652"/>
    <w:rsid w:val="58AA2D6A"/>
    <w:rsid w:val="58F61BC4"/>
    <w:rsid w:val="590528AD"/>
    <w:rsid w:val="592F675E"/>
    <w:rsid w:val="596231EC"/>
    <w:rsid w:val="596D4522"/>
    <w:rsid w:val="59723DF0"/>
    <w:rsid w:val="598650CC"/>
    <w:rsid w:val="598A391F"/>
    <w:rsid w:val="59972155"/>
    <w:rsid w:val="59A551AA"/>
    <w:rsid w:val="59AD4305"/>
    <w:rsid w:val="59B46704"/>
    <w:rsid w:val="59D62D67"/>
    <w:rsid w:val="5A191CFA"/>
    <w:rsid w:val="5A1B6044"/>
    <w:rsid w:val="5A340D12"/>
    <w:rsid w:val="5A405C9C"/>
    <w:rsid w:val="5A4412E8"/>
    <w:rsid w:val="5A470DD9"/>
    <w:rsid w:val="5A4F7393"/>
    <w:rsid w:val="5A7F3D8F"/>
    <w:rsid w:val="5AB46874"/>
    <w:rsid w:val="5ABD32A6"/>
    <w:rsid w:val="5AC53338"/>
    <w:rsid w:val="5ADA0053"/>
    <w:rsid w:val="5AE26D53"/>
    <w:rsid w:val="5AF8640D"/>
    <w:rsid w:val="5B047703"/>
    <w:rsid w:val="5B0A49F0"/>
    <w:rsid w:val="5B216787"/>
    <w:rsid w:val="5B767BC7"/>
    <w:rsid w:val="5B83329D"/>
    <w:rsid w:val="5B8411B1"/>
    <w:rsid w:val="5B880621"/>
    <w:rsid w:val="5B9444F1"/>
    <w:rsid w:val="5BE61249"/>
    <w:rsid w:val="5BE72AE0"/>
    <w:rsid w:val="5C003935"/>
    <w:rsid w:val="5C1164C3"/>
    <w:rsid w:val="5C5B0B6B"/>
    <w:rsid w:val="5C5D1AF1"/>
    <w:rsid w:val="5C5E0BCA"/>
    <w:rsid w:val="5C735EB5"/>
    <w:rsid w:val="5CAB11B2"/>
    <w:rsid w:val="5CDE7D74"/>
    <w:rsid w:val="5CDF354A"/>
    <w:rsid w:val="5D113164"/>
    <w:rsid w:val="5D1551BE"/>
    <w:rsid w:val="5D581F90"/>
    <w:rsid w:val="5D740137"/>
    <w:rsid w:val="5DA47144"/>
    <w:rsid w:val="5DB84EA5"/>
    <w:rsid w:val="5DB91FED"/>
    <w:rsid w:val="5DC73F1D"/>
    <w:rsid w:val="5E660739"/>
    <w:rsid w:val="5E6A7B63"/>
    <w:rsid w:val="5E7B3747"/>
    <w:rsid w:val="5E7C04A2"/>
    <w:rsid w:val="5EAB402C"/>
    <w:rsid w:val="5EB16095"/>
    <w:rsid w:val="5EBD46D7"/>
    <w:rsid w:val="5EC33559"/>
    <w:rsid w:val="5ECB0BEA"/>
    <w:rsid w:val="5EFD23AE"/>
    <w:rsid w:val="5F1637E1"/>
    <w:rsid w:val="5F1B0482"/>
    <w:rsid w:val="5F2D47ED"/>
    <w:rsid w:val="5F3503F7"/>
    <w:rsid w:val="5F3793B4"/>
    <w:rsid w:val="5F3820BC"/>
    <w:rsid w:val="5F434BAC"/>
    <w:rsid w:val="5F4B59A1"/>
    <w:rsid w:val="5F604578"/>
    <w:rsid w:val="5F631303"/>
    <w:rsid w:val="5F671076"/>
    <w:rsid w:val="5F710167"/>
    <w:rsid w:val="5F7534AB"/>
    <w:rsid w:val="5F776DB4"/>
    <w:rsid w:val="5F7F2DC3"/>
    <w:rsid w:val="5F8A1E93"/>
    <w:rsid w:val="5F8D1A62"/>
    <w:rsid w:val="5F920D48"/>
    <w:rsid w:val="5F997B4E"/>
    <w:rsid w:val="5FC17C40"/>
    <w:rsid w:val="5FCE1440"/>
    <w:rsid w:val="5FDC7B44"/>
    <w:rsid w:val="601A42DE"/>
    <w:rsid w:val="602E3ACF"/>
    <w:rsid w:val="60483AFC"/>
    <w:rsid w:val="604C0EF7"/>
    <w:rsid w:val="6051475F"/>
    <w:rsid w:val="608A7039"/>
    <w:rsid w:val="609603C4"/>
    <w:rsid w:val="60D04F20"/>
    <w:rsid w:val="610F6B81"/>
    <w:rsid w:val="618E3B67"/>
    <w:rsid w:val="61B50D3C"/>
    <w:rsid w:val="61BD0CA9"/>
    <w:rsid w:val="61BF1B9C"/>
    <w:rsid w:val="61CB6793"/>
    <w:rsid w:val="61E13375"/>
    <w:rsid w:val="61E25207"/>
    <w:rsid w:val="61E57855"/>
    <w:rsid w:val="61F94D56"/>
    <w:rsid w:val="62156DBD"/>
    <w:rsid w:val="62426A55"/>
    <w:rsid w:val="624C799D"/>
    <w:rsid w:val="625031F6"/>
    <w:rsid w:val="62562501"/>
    <w:rsid w:val="626E5665"/>
    <w:rsid w:val="62954A7A"/>
    <w:rsid w:val="62A54922"/>
    <w:rsid w:val="62BB6808"/>
    <w:rsid w:val="62D42FE0"/>
    <w:rsid w:val="62DB47B4"/>
    <w:rsid w:val="62E73159"/>
    <w:rsid w:val="62F835B8"/>
    <w:rsid w:val="63195A6F"/>
    <w:rsid w:val="631D2A29"/>
    <w:rsid w:val="631F3496"/>
    <w:rsid w:val="635D78BF"/>
    <w:rsid w:val="63604CB9"/>
    <w:rsid w:val="63715B85"/>
    <w:rsid w:val="63CE551B"/>
    <w:rsid w:val="63F0603D"/>
    <w:rsid w:val="64085A7D"/>
    <w:rsid w:val="64191A38"/>
    <w:rsid w:val="64286E32"/>
    <w:rsid w:val="644840CB"/>
    <w:rsid w:val="647E5D3F"/>
    <w:rsid w:val="6481138B"/>
    <w:rsid w:val="648202A4"/>
    <w:rsid w:val="648639C8"/>
    <w:rsid w:val="649D1848"/>
    <w:rsid w:val="64AB50ED"/>
    <w:rsid w:val="64D74D16"/>
    <w:rsid w:val="64FB6B52"/>
    <w:rsid w:val="65023356"/>
    <w:rsid w:val="650B09FD"/>
    <w:rsid w:val="653945E9"/>
    <w:rsid w:val="653E0054"/>
    <w:rsid w:val="6559395F"/>
    <w:rsid w:val="6582360D"/>
    <w:rsid w:val="658A2477"/>
    <w:rsid w:val="65907AD8"/>
    <w:rsid w:val="65964403"/>
    <w:rsid w:val="66014531"/>
    <w:rsid w:val="66095B5B"/>
    <w:rsid w:val="66180BF0"/>
    <w:rsid w:val="661C580F"/>
    <w:rsid w:val="666151A6"/>
    <w:rsid w:val="66681859"/>
    <w:rsid w:val="666C4B27"/>
    <w:rsid w:val="666F3B91"/>
    <w:rsid w:val="66703EE7"/>
    <w:rsid w:val="66C03FBD"/>
    <w:rsid w:val="66D9725C"/>
    <w:rsid w:val="67022EBD"/>
    <w:rsid w:val="67051C95"/>
    <w:rsid w:val="67185FD7"/>
    <w:rsid w:val="671A48D3"/>
    <w:rsid w:val="67395C2F"/>
    <w:rsid w:val="677B6EC4"/>
    <w:rsid w:val="67866D2D"/>
    <w:rsid w:val="679F074B"/>
    <w:rsid w:val="67A00D71"/>
    <w:rsid w:val="67A7735B"/>
    <w:rsid w:val="680B7D47"/>
    <w:rsid w:val="68223C9F"/>
    <w:rsid w:val="682D5AB2"/>
    <w:rsid w:val="683C3F47"/>
    <w:rsid w:val="68623456"/>
    <w:rsid w:val="68637725"/>
    <w:rsid w:val="68783024"/>
    <w:rsid w:val="689070BF"/>
    <w:rsid w:val="689169CE"/>
    <w:rsid w:val="68B7754A"/>
    <w:rsid w:val="68CA4A32"/>
    <w:rsid w:val="68DD01E3"/>
    <w:rsid w:val="68E321D4"/>
    <w:rsid w:val="68ED0449"/>
    <w:rsid w:val="69245129"/>
    <w:rsid w:val="6945708E"/>
    <w:rsid w:val="69472BA3"/>
    <w:rsid w:val="696D1151"/>
    <w:rsid w:val="697A3640"/>
    <w:rsid w:val="69B11D61"/>
    <w:rsid w:val="69BB0E9B"/>
    <w:rsid w:val="69CE6E20"/>
    <w:rsid w:val="69DF21C2"/>
    <w:rsid w:val="69F61ED3"/>
    <w:rsid w:val="69FA3820"/>
    <w:rsid w:val="6A1233C8"/>
    <w:rsid w:val="6A1905E9"/>
    <w:rsid w:val="6A3550F2"/>
    <w:rsid w:val="6A554E4C"/>
    <w:rsid w:val="6A585BE2"/>
    <w:rsid w:val="6AD42215"/>
    <w:rsid w:val="6ADE5BFE"/>
    <w:rsid w:val="6B055EBD"/>
    <w:rsid w:val="6B286A04"/>
    <w:rsid w:val="6B2F701E"/>
    <w:rsid w:val="6B714474"/>
    <w:rsid w:val="6B7850DA"/>
    <w:rsid w:val="6B8A321B"/>
    <w:rsid w:val="6BA06E96"/>
    <w:rsid w:val="6BB27D33"/>
    <w:rsid w:val="6BB43907"/>
    <w:rsid w:val="6BB95A45"/>
    <w:rsid w:val="6BC1309E"/>
    <w:rsid w:val="6C003AA0"/>
    <w:rsid w:val="6C0716E0"/>
    <w:rsid w:val="6C1549AA"/>
    <w:rsid w:val="6C334B10"/>
    <w:rsid w:val="6C512F5A"/>
    <w:rsid w:val="6C75307C"/>
    <w:rsid w:val="6C7C7BAF"/>
    <w:rsid w:val="6CA42302"/>
    <w:rsid w:val="6CEC7186"/>
    <w:rsid w:val="6D2228E8"/>
    <w:rsid w:val="6D2A26B9"/>
    <w:rsid w:val="6D5C2995"/>
    <w:rsid w:val="6D792969"/>
    <w:rsid w:val="6DAC60A2"/>
    <w:rsid w:val="6DAF7B41"/>
    <w:rsid w:val="6DD662A4"/>
    <w:rsid w:val="6DF72520"/>
    <w:rsid w:val="6E0821E5"/>
    <w:rsid w:val="6E12045F"/>
    <w:rsid w:val="6E1312A6"/>
    <w:rsid w:val="6E1A0886"/>
    <w:rsid w:val="6E1F40EF"/>
    <w:rsid w:val="6E216198"/>
    <w:rsid w:val="6E25722B"/>
    <w:rsid w:val="6E2E371A"/>
    <w:rsid w:val="6E3D3C02"/>
    <w:rsid w:val="6E43260A"/>
    <w:rsid w:val="6E82135C"/>
    <w:rsid w:val="6E887BE5"/>
    <w:rsid w:val="6E8A1861"/>
    <w:rsid w:val="6E8E3022"/>
    <w:rsid w:val="6E915728"/>
    <w:rsid w:val="6ECB7DD2"/>
    <w:rsid w:val="6EDD18B4"/>
    <w:rsid w:val="6EED5F9B"/>
    <w:rsid w:val="6EEF56A4"/>
    <w:rsid w:val="6EF57A07"/>
    <w:rsid w:val="6F35426A"/>
    <w:rsid w:val="6F3763E4"/>
    <w:rsid w:val="6F382E6E"/>
    <w:rsid w:val="6F4A3402"/>
    <w:rsid w:val="6F5A49B1"/>
    <w:rsid w:val="6F7D5F5E"/>
    <w:rsid w:val="6F9A1D4E"/>
    <w:rsid w:val="6FA20B9A"/>
    <w:rsid w:val="6FD67BBA"/>
    <w:rsid w:val="6FEF189F"/>
    <w:rsid w:val="6FEF3823"/>
    <w:rsid w:val="6FF02AE0"/>
    <w:rsid w:val="70052E70"/>
    <w:rsid w:val="701A0C5C"/>
    <w:rsid w:val="70216DB1"/>
    <w:rsid w:val="703A6FBE"/>
    <w:rsid w:val="70AA6071"/>
    <w:rsid w:val="70AB3A18"/>
    <w:rsid w:val="70B06214"/>
    <w:rsid w:val="70B70021"/>
    <w:rsid w:val="70DA42FD"/>
    <w:rsid w:val="71243478"/>
    <w:rsid w:val="712E25A6"/>
    <w:rsid w:val="71396E37"/>
    <w:rsid w:val="71987153"/>
    <w:rsid w:val="719A3723"/>
    <w:rsid w:val="71CC2C9D"/>
    <w:rsid w:val="71DF6268"/>
    <w:rsid w:val="71E371E1"/>
    <w:rsid w:val="722441E6"/>
    <w:rsid w:val="722602E4"/>
    <w:rsid w:val="722872EA"/>
    <w:rsid w:val="724904BC"/>
    <w:rsid w:val="724C3898"/>
    <w:rsid w:val="726A277D"/>
    <w:rsid w:val="726E07B9"/>
    <w:rsid w:val="7289422C"/>
    <w:rsid w:val="72897B45"/>
    <w:rsid w:val="72A03324"/>
    <w:rsid w:val="72CA2E76"/>
    <w:rsid w:val="72DB31DC"/>
    <w:rsid w:val="72EE6B94"/>
    <w:rsid w:val="73023776"/>
    <w:rsid w:val="730D6C0C"/>
    <w:rsid w:val="732775A1"/>
    <w:rsid w:val="732B3A38"/>
    <w:rsid w:val="73450D92"/>
    <w:rsid w:val="73521FF1"/>
    <w:rsid w:val="73562CDC"/>
    <w:rsid w:val="73746E98"/>
    <w:rsid w:val="73915781"/>
    <w:rsid w:val="739F35DC"/>
    <w:rsid w:val="73B9653F"/>
    <w:rsid w:val="73D365FC"/>
    <w:rsid w:val="73E536E4"/>
    <w:rsid w:val="73F14D9C"/>
    <w:rsid w:val="74036FE2"/>
    <w:rsid w:val="74263BAF"/>
    <w:rsid w:val="74416441"/>
    <w:rsid w:val="74460DDF"/>
    <w:rsid w:val="747556D2"/>
    <w:rsid w:val="748B4390"/>
    <w:rsid w:val="74A77739"/>
    <w:rsid w:val="74CC523A"/>
    <w:rsid w:val="74D70440"/>
    <w:rsid w:val="74DC4AE7"/>
    <w:rsid w:val="74FB0741"/>
    <w:rsid w:val="750F60A0"/>
    <w:rsid w:val="75356AE5"/>
    <w:rsid w:val="754A16B5"/>
    <w:rsid w:val="75621E9A"/>
    <w:rsid w:val="75665FAD"/>
    <w:rsid w:val="75816C78"/>
    <w:rsid w:val="758E4CFE"/>
    <w:rsid w:val="75A9224D"/>
    <w:rsid w:val="75F419BD"/>
    <w:rsid w:val="75F65DB9"/>
    <w:rsid w:val="76355A25"/>
    <w:rsid w:val="764346F2"/>
    <w:rsid w:val="764567D7"/>
    <w:rsid w:val="7654655A"/>
    <w:rsid w:val="767C1B65"/>
    <w:rsid w:val="768F2F08"/>
    <w:rsid w:val="76A827A7"/>
    <w:rsid w:val="76D4359C"/>
    <w:rsid w:val="76DD4B47"/>
    <w:rsid w:val="76DF412F"/>
    <w:rsid w:val="76E71A8B"/>
    <w:rsid w:val="77084F68"/>
    <w:rsid w:val="77171083"/>
    <w:rsid w:val="771D3195"/>
    <w:rsid w:val="7733047E"/>
    <w:rsid w:val="77387FCF"/>
    <w:rsid w:val="777B4BEC"/>
    <w:rsid w:val="777CDE48"/>
    <w:rsid w:val="777F4F6A"/>
    <w:rsid w:val="77A613DD"/>
    <w:rsid w:val="77C204D6"/>
    <w:rsid w:val="77D54725"/>
    <w:rsid w:val="77D5717C"/>
    <w:rsid w:val="77EA751B"/>
    <w:rsid w:val="77F6299E"/>
    <w:rsid w:val="77FFFB45"/>
    <w:rsid w:val="780A4A7F"/>
    <w:rsid w:val="78466A4F"/>
    <w:rsid w:val="78564BB1"/>
    <w:rsid w:val="785C7CED"/>
    <w:rsid w:val="7865654D"/>
    <w:rsid w:val="78670697"/>
    <w:rsid w:val="78704488"/>
    <w:rsid w:val="787F0734"/>
    <w:rsid w:val="788334CC"/>
    <w:rsid w:val="788D35B0"/>
    <w:rsid w:val="78A474BC"/>
    <w:rsid w:val="78BB57EA"/>
    <w:rsid w:val="78BD1F82"/>
    <w:rsid w:val="78C01D44"/>
    <w:rsid w:val="78FF435D"/>
    <w:rsid w:val="7947117A"/>
    <w:rsid w:val="79570BE0"/>
    <w:rsid w:val="796706F8"/>
    <w:rsid w:val="798A51E2"/>
    <w:rsid w:val="79CE6C24"/>
    <w:rsid w:val="79D45255"/>
    <w:rsid w:val="79DE4211"/>
    <w:rsid w:val="79EF66F4"/>
    <w:rsid w:val="79F01E68"/>
    <w:rsid w:val="79FA560C"/>
    <w:rsid w:val="7A0C7743"/>
    <w:rsid w:val="7A190571"/>
    <w:rsid w:val="7A4A0EBA"/>
    <w:rsid w:val="7A524BEE"/>
    <w:rsid w:val="7A5C5D83"/>
    <w:rsid w:val="7A8878AE"/>
    <w:rsid w:val="7A9429BD"/>
    <w:rsid w:val="7A99625A"/>
    <w:rsid w:val="7AA17996"/>
    <w:rsid w:val="7AD565D6"/>
    <w:rsid w:val="7ADB139D"/>
    <w:rsid w:val="7AE312E0"/>
    <w:rsid w:val="7AE836F4"/>
    <w:rsid w:val="7B0F3F2F"/>
    <w:rsid w:val="7B113011"/>
    <w:rsid w:val="7B11712B"/>
    <w:rsid w:val="7B28313F"/>
    <w:rsid w:val="7B2C7E4B"/>
    <w:rsid w:val="7B340AAD"/>
    <w:rsid w:val="7B4231CA"/>
    <w:rsid w:val="7B4734F3"/>
    <w:rsid w:val="7B72561F"/>
    <w:rsid w:val="7B7577F8"/>
    <w:rsid w:val="7C1A6C86"/>
    <w:rsid w:val="7C377EAB"/>
    <w:rsid w:val="7C3C2154"/>
    <w:rsid w:val="7C885555"/>
    <w:rsid w:val="7CA81753"/>
    <w:rsid w:val="7CAE79BA"/>
    <w:rsid w:val="7CD85D9A"/>
    <w:rsid w:val="7CE4098B"/>
    <w:rsid w:val="7CE704CD"/>
    <w:rsid w:val="7CEC179F"/>
    <w:rsid w:val="7CF14EA8"/>
    <w:rsid w:val="7D0A582B"/>
    <w:rsid w:val="7D1D5C9D"/>
    <w:rsid w:val="7D1F7C67"/>
    <w:rsid w:val="7D402E5A"/>
    <w:rsid w:val="7D557F05"/>
    <w:rsid w:val="7D645A1F"/>
    <w:rsid w:val="7D755904"/>
    <w:rsid w:val="7D7665D4"/>
    <w:rsid w:val="7D847ACA"/>
    <w:rsid w:val="7D883967"/>
    <w:rsid w:val="7DB12889"/>
    <w:rsid w:val="7DBB0228"/>
    <w:rsid w:val="7DDF6644"/>
    <w:rsid w:val="7DE144F4"/>
    <w:rsid w:val="7DEE13E8"/>
    <w:rsid w:val="7DF05160"/>
    <w:rsid w:val="7DFB7ABA"/>
    <w:rsid w:val="7DFD2340"/>
    <w:rsid w:val="7E4F0E4B"/>
    <w:rsid w:val="7E4F73A1"/>
    <w:rsid w:val="7E54287C"/>
    <w:rsid w:val="7E60781C"/>
    <w:rsid w:val="7E6337D1"/>
    <w:rsid w:val="7E710E71"/>
    <w:rsid w:val="7E9C7460"/>
    <w:rsid w:val="7EAF1977"/>
    <w:rsid w:val="7EB35917"/>
    <w:rsid w:val="7EB61BFD"/>
    <w:rsid w:val="7F475253"/>
    <w:rsid w:val="7F54171E"/>
    <w:rsid w:val="7F5B161F"/>
    <w:rsid w:val="7F6F272A"/>
    <w:rsid w:val="7F83437A"/>
    <w:rsid w:val="7F9B4EE2"/>
    <w:rsid w:val="7FB3342B"/>
    <w:rsid w:val="7FBBFFF1"/>
    <w:rsid w:val="7FC96C34"/>
    <w:rsid w:val="7FD73191"/>
    <w:rsid w:val="7FFE1522"/>
    <w:rsid w:val="9ADF2308"/>
    <w:rsid w:val="9D47B819"/>
    <w:rsid w:val="9FFF61F3"/>
    <w:rsid w:val="BEFE2F46"/>
    <w:rsid w:val="BFD7D34D"/>
    <w:rsid w:val="DABCDABF"/>
    <w:rsid w:val="DDFF94CC"/>
    <w:rsid w:val="DF7B3FB3"/>
    <w:rsid w:val="DFBD81D1"/>
    <w:rsid w:val="E77B9F3C"/>
    <w:rsid w:val="EDFF394A"/>
    <w:rsid w:val="EEFF1860"/>
    <w:rsid w:val="F8FF42AB"/>
    <w:rsid w:val="FDAF4D2A"/>
    <w:rsid w:val="FF37476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qFormat="1" w:unhideWhenUsed="0"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nhideWhenUsed="0"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99"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qFormat="1"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paragraph" w:styleId="2">
    <w:name w:val="heading 1"/>
    <w:basedOn w:val="1"/>
    <w:next w:val="1"/>
    <w:link w:val="5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55"/>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53"/>
    <w:unhideWhenUsed/>
    <w:qFormat/>
    <w:uiPriority w:val="0"/>
    <w:pPr>
      <w:keepNext/>
      <w:keepLines/>
      <w:numPr>
        <w:ilvl w:val="0"/>
        <w:numId w:val="1"/>
      </w:numPr>
      <w:adjustRightInd w:val="0"/>
      <w:snapToGrid w:val="0"/>
      <w:spacing w:after="120" w:line="500" w:lineRule="exact"/>
      <w:outlineLvl w:val="2"/>
    </w:pPr>
    <w:rPr>
      <w:rFonts w:ascii="黑体" w:hAnsi="黑体" w:eastAsia="黑体"/>
      <w:sz w:val="28"/>
      <w:szCs w:val="32"/>
    </w:rPr>
  </w:style>
  <w:style w:type="paragraph" w:styleId="5">
    <w:name w:val="heading 4"/>
    <w:basedOn w:val="1"/>
    <w:next w:val="1"/>
    <w:link w:val="56"/>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57"/>
    <w:qFormat/>
    <w:uiPriority w:val="9"/>
    <w:pPr>
      <w:keepNext/>
      <w:keepLines/>
      <w:tabs>
        <w:tab w:val="left" w:pos="1008"/>
      </w:tabs>
      <w:spacing w:before="280" w:after="290" w:line="376" w:lineRule="auto"/>
      <w:ind w:left="1008" w:hanging="1008"/>
      <w:outlineLvl w:val="4"/>
    </w:pPr>
    <w:rPr>
      <w:rFonts w:ascii="Times New Roman" w:hAnsi="Times New Roman"/>
      <w:b/>
      <w:bCs/>
      <w:sz w:val="28"/>
      <w:szCs w:val="28"/>
    </w:rPr>
  </w:style>
  <w:style w:type="paragraph" w:styleId="7">
    <w:name w:val="heading 6"/>
    <w:basedOn w:val="1"/>
    <w:next w:val="1"/>
    <w:link w:val="58"/>
    <w:qFormat/>
    <w:uiPriority w:val="9"/>
    <w:pPr>
      <w:keepNext/>
      <w:keepLines/>
      <w:tabs>
        <w:tab w:val="left" w:pos="1152"/>
      </w:tabs>
      <w:spacing w:before="240" w:after="64" w:line="320" w:lineRule="auto"/>
      <w:ind w:left="1152" w:hanging="1152"/>
      <w:outlineLvl w:val="5"/>
    </w:pPr>
    <w:rPr>
      <w:rFonts w:ascii="Arial" w:hAnsi="Arial" w:eastAsia="黑体"/>
      <w:b/>
      <w:bCs/>
      <w:sz w:val="24"/>
      <w:szCs w:val="24"/>
    </w:rPr>
  </w:style>
  <w:style w:type="paragraph" w:styleId="8">
    <w:name w:val="heading 7"/>
    <w:basedOn w:val="1"/>
    <w:next w:val="1"/>
    <w:link w:val="59"/>
    <w:qFormat/>
    <w:uiPriority w:val="9"/>
    <w:pPr>
      <w:keepNext/>
      <w:keepLines/>
      <w:tabs>
        <w:tab w:val="left" w:pos="1296"/>
      </w:tabs>
      <w:spacing w:before="240" w:after="64" w:line="320" w:lineRule="auto"/>
      <w:ind w:left="1296" w:hanging="1296"/>
      <w:outlineLvl w:val="6"/>
    </w:pPr>
    <w:rPr>
      <w:rFonts w:ascii="Times New Roman" w:hAnsi="Times New Roman"/>
      <w:b/>
      <w:bCs/>
      <w:sz w:val="24"/>
      <w:szCs w:val="24"/>
      <w:lang w:val="zh-CN"/>
    </w:rPr>
  </w:style>
  <w:style w:type="paragraph" w:styleId="9">
    <w:name w:val="heading 8"/>
    <w:basedOn w:val="1"/>
    <w:next w:val="1"/>
    <w:link w:val="60"/>
    <w:qFormat/>
    <w:uiPriority w:val="9"/>
    <w:pPr>
      <w:keepNext/>
      <w:keepLines/>
      <w:tabs>
        <w:tab w:val="left" w:pos="1440"/>
      </w:tabs>
      <w:spacing w:before="240" w:after="64" w:line="320" w:lineRule="auto"/>
      <w:ind w:left="1440" w:hanging="1440"/>
      <w:outlineLvl w:val="7"/>
    </w:pPr>
    <w:rPr>
      <w:rFonts w:ascii="Arial" w:hAnsi="Arial" w:eastAsia="黑体"/>
      <w:sz w:val="24"/>
      <w:szCs w:val="24"/>
      <w:lang w:val="zh-CN"/>
    </w:rPr>
  </w:style>
  <w:style w:type="paragraph" w:styleId="10">
    <w:name w:val="heading 9"/>
    <w:basedOn w:val="1"/>
    <w:next w:val="1"/>
    <w:link w:val="61"/>
    <w:qFormat/>
    <w:uiPriority w:val="9"/>
    <w:pPr>
      <w:keepNext/>
      <w:keepLines/>
      <w:spacing w:before="240" w:after="64" w:line="320" w:lineRule="auto"/>
      <w:ind w:firstLine="480" w:firstLineChars="200"/>
      <w:outlineLvl w:val="8"/>
    </w:pPr>
    <w:rPr>
      <w:rFonts w:ascii="Arial" w:hAnsi="Arial" w:eastAsia="黑体"/>
      <w:lang w:val="zh-CN"/>
    </w:rPr>
  </w:style>
  <w:style w:type="character" w:default="1" w:styleId="41">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ind w:left="1260"/>
      <w:jc w:val="left"/>
    </w:pPr>
    <w:rPr>
      <w:rFonts w:eastAsiaTheme="minorHAnsi"/>
      <w:sz w:val="18"/>
      <w:szCs w:val="18"/>
    </w:rPr>
  </w:style>
  <w:style w:type="paragraph" w:styleId="12">
    <w:name w:val="Normal Indent"/>
    <w:basedOn w:val="1"/>
    <w:qFormat/>
    <w:uiPriority w:val="99"/>
    <w:pPr>
      <w:spacing w:line="360" w:lineRule="auto"/>
      <w:ind w:firstLine="510"/>
    </w:pPr>
    <w:rPr>
      <w:rFonts w:ascii="Times New Roman" w:hAnsi="Times New Roman"/>
      <w:szCs w:val="20"/>
    </w:rPr>
  </w:style>
  <w:style w:type="paragraph" w:styleId="13">
    <w:name w:val="caption"/>
    <w:basedOn w:val="1"/>
    <w:next w:val="1"/>
    <w:unhideWhenUsed/>
    <w:qFormat/>
    <w:uiPriority w:val="35"/>
    <w:rPr>
      <w:rFonts w:eastAsia="黑体" w:asciiTheme="majorHAnsi" w:hAnsiTheme="majorHAnsi" w:cstheme="majorBidi"/>
      <w:sz w:val="20"/>
      <w:szCs w:val="20"/>
    </w:rPr>
  </w:style>
  <w:style w:type="paragraph" w:styleId="14">
    <w:name w:val="Document Map"/>
    <w:basedOn w:val="1"/>
    <w:link w:val="62"/>
    <w:semiHidden/>
    <w:unhideWhenUsed/>
    <w:qFormat/>
    <w:uiPriority w:val="99"/>
    <w:rPr>
      <w:rFonts w:ascii="宋体"/>
      <w:sz w:val="18"/>
      <w:szCs w:val="18"/>
    </w:rPr>
  </w:style>
  <w:style w:type="paragraph" w:styleId="15">
    <w:name w:val="annotation text"/>
    <w:basedOn w:val="1"/>
    <w:link w:val="63"/>
    <w:unhideWhenUsed/>
    <w:qFormat/>
    <w:uiPriority w:val="99"/>
    <w:pPr>
      <w:jc w:val="left"/>
    </w:pPr>
  </w:style>
  <w:style w:type="paragraph" w:styleId="16">
    <w:name w:val="Body Text"/>
    <w:basedOn w:val="1"/>
    <w:next w:val="1"/>
    <w:link w:val="49"/>
    <w:qFormat/>
    <w:uiPriority w:val="99"/>
    <w:pPr>
      <w:spacing w:after="120"/>
    </w:pPr>
    <w:rPr>
      <w:rFonts w:ascii="Times New Roman" w:hAnsi="Times New Roman"/>
      <w:sz w:val="24"/>
      <w:szCs w:val="24"/>
    </w:rPr>
  </w:style>
  <w:style w:type="paragraph" w:styleId="17">
    <w:name w:val="Body Text Indent"/>
    <w:basedOn w:val="1"/>
    <w:link w:val="64"/>
    <w:unhideWhenUsed/>
    <w:qFormat/>
    <w:uiPriority w:val="99"/>
    <w:pPr>
      <w:spacing w:after="120"/>
      <w:ind w:left="420" w:leftChars="200"/>
    </w:pPr>
  </w:style>
  <w:style w:type="paragraph" w:styleId="18">
    <w:name w:val="toc 5"/>
    <w:basedOn w:val="1"/>
    <w:next w:val="1"/>
    <w:unhideWhenUsed/>
    <w:qFormat/>
    <w:uiPriority w:val="39"/>
    <w:pPr>
      <w:ind w:left="840"/>
      <w:jc w:val="left"/>
    </w:pPr>
    <w:rPr>
      <w:rFonts w:eastAsiaTheme="minorHAnsi"/>
      <w:sz w:val="18"/>
      <w:szCs w:val="18"/>
    </w:rPr>
  </w:style>
  <w:style w:type="paragraph" w:styleId="19">
    <w:name w:val="toc 3"/>
    <w:basedOn w:val="1"/>
    <w:next w:val="1"/>
    <w:unhideWhenUsed/>
    <w:qFormat/>
    <w:uiPriority w:val="39"/>
    <w:pPr>
      <w:ind w:left="420"/>
      <w:jc w:val="left"/>
    </w:pPr>
    <w:rPr>
      <w:rFonts w:eastAsiaTheme="minorHAnsi"/>
      <w:i/>
      <w:iCs/>
      <w:sz w:val="20"/>
      <w:szCs w:val="20"/>
    </w:rPr>
  </w:style>
  <w:style w:type="paragraph" w:styleId="20">
    <w:name w:val="toc 8"/>
    <w:basedOn w:val="1"/>
    <w:next w:val="1"/>
    <w:unhideWhenUsed/>
    <w:qFormat/>
    <w:uiPriority w:val="39"/>
    <w:pPr>
      <w:ind w:left="1470"/>
      <w:jc w:val="left"/>
    </w:pPr>
    <w:rPr>
      <w:rFonts w:eastAsiaTheme="minorHAnsi"/>
      <w:sz w:val="18"/>
      <w:szCs w:val="18"/>
    </w:rPr>
  </w:style>
  <w:style w:type="paragraph" w:styleId="21">
    <w:name w:val="Body Text Indent 2"/>
    <w:basedOn w:val="1"/>
    <w:link w:val="65"/>
    <w:qFormat/>
    <w:uiPriority w:val="99"/>
    <w:pPr>
      <w:spacing w:after="120" w:line="480" w:lineRule="auto"/>
      <w:ind w:left="420" w:leftChars="200" w:firstLine="480" w:firstLineChars="200"/>
    </w:pPr>
    <w:rPr>
      <w:rFonts w:ascii="Times New Roman" w:hAnsi="Times New Roman"/>
      <w:sz w:val="24"/>
      <w:szCs w:val="24"/>
      <w:lang w:val="zh-CN"/>
    </w:rPr>
  </w:style>
  <w:style w:type="paragraph" w:styleId="22">
    <w:name w:val="Balloon Text"/>
    <w:basedOn w:val="1"/>
    <w:link w:val="54"/>
    <w:semiHidden/>
    <w:unhideWhenUsed/>
    <w:qFormat/>
    <w:uiPriority w:val="99"/>
    <w:pPr>
      <w:snapToGrid w:val="0"/>
      <w:spacing w:line="600" w:lineRule="atLeast"/>
    </w:pPr>
    <w:rPr>
      <w:sz w:val="18"/>
      <w:szCs w:val="18"/>
    </w:rPr>
  </w:style>
  <w:style w:type="paragraph" w:styleId="23">
    <w:name w:val="footer"/>
    <w:basedOn w:val="1"/>
    <w:link w:val="50"/>
    <w:unhideWhenUsed/>
    <w:qFormat/>
    <w:uiPriority w:val="99"/>
    <w:pPr>
      <w:tabs>
        <w:tab w:val="center" w:pos="4153"/>
        <w:tab w:val="right" w:pos="8306"/>
      </w:tabs>
      <w:snapToGrid w:val="0"/>
      <w:jc w:val="left"/>
    </w:pPr>
    <w:rPr>
      <w:sz w:val="18"/>
      <w:szCs w:val="18"/>
    </w:rPr>
  </w:style>
  <w:style w:type="paragraph" w:styleId="24">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25">
    <w:name w:val="toc 1"/>
    <w:basedOn w:val="1"/>
    <w:next w:val="1"/>
    <w:unhideWhenUsed/>
    <w:qFormat/>
    <w:uiPriority w:val="39"/>
    <w:pPr>
      <w:tabs>
        <w:tab w:val="left" w:pos="1260"/>
        <w:tab w:val="right" w:leader="dot" w:pos="8296"/>
      </w:tabs>
      <w:jc w:val="left"/>
    </w:pPr>
    <w:rPr>
      <w:rFonts w:ascii="黑体" w:hAnsi="黑体" w:eastAsia="黑体"/>
      <w:bCs/>
      <w:caps/>
      <w:sz w:val="32"/>
      <w:szCs w:val="32"/>
    </w:rPr>
  </w:style>
  <w:style w:type="paragraph" w:styleId="26">
    <w:name w:val="toc 4"/>
    <w:basedOn w:val="1"/>
    <w:next w:val="1"/>
    <w:unhideWhenUsed/>
    <w:qFormat/>
    <w:uiPriority w:val="39"/>
    <w:pPr>
      <w:ind w:left="630"/>
      <w:jc w:val="left"/>
    </w:pPr>
    <w:rPr>
      <w:rFonts w:eastAsiaTheme="minorHAnsi"/>
      <w:sz w:val="18"/>
      <w:szCs w:val="18"/>
    </w:rPr>
  </w:style>
  <w:style w:type="paragraph" w:styleId="27">
    <w:name w:val="Subtitle"/>
    <w:basedOn w:val="1"/>
    <w:next w:val="28"/>
    <w:link w:val="66"/>
    <w:qFormat/>
    <w:uiPriority w:val="99"/>
    <w:pPr>
      <w:spacing w:before="240" w:after="60" w:line="312" w:lineRule="auto"/>
      <w:ind w:firstLine="200" w:firstLineChars="200"/>
      <w:outlineLvl w:val="1"/>
    </w:pPr>
    <w:rPr>
      <w:rFonts w:ascii="等线 Light" w:hAnsi="等线 Light" w:eastAsia="方正黑体_GBK"/>
      <w:bCs/>
      <w:kern w:val="28"/>
      <w:sz w:val="32"/>
      <w:szCs w:val="32"/>
      <w:lang w:val="zh-CN"/>
    </w:rPr>
  </w:style>
  <w:style w:type="paragraph" w:styleId="28">
    <w:name w:val="Body Text First Indent 2"/>
    <w:basedOn w:val="17"/>
    <w:link w:val="67"/>
    <w:semiHidden/>
    <w:unhideWhenUsed/>
    <w:qFormat/>
    <w:uiPriority w:val="99"/>
    <w:pPr>
      <w:ind w:firstLine="420" w:firstLineChars="200"/>
    </w:pPr>
  </w:style>
  <w:style w:type="paragraph" w:styleId="29">
    <w:name w:val="footnote text"/>
    <w:basedOn w:val="1"/>
    <w:link w:val="68"/>
    <w:semiHidden/>
    <w:qFormat/>
    <w:uiPriority w:val="99"/>
    <w:pPr>
      <w:snapToGrid w:val="0"/>
      <w:jc w:val="left"/>
    </w:pPr>
    <w:rPr>
      <w:rFonts w:ascii="Times New Roman" w:hAnsi="Times New Roman"/>
      <w:sz w:val="18"/>
      <w:szCs w:val="18"/>
    </w:rPr>
  </w:style>
  <w:style w:type="paragraph" w:styleId="30">
    <w:name w:val="toc 6"/>
    <w:basedOn w:val="1"/>
    <w:next w:val="1"/>
    <w:unhideWhenUsed/>
    <w:qFormat/>
    <w:uiPriority w:val="39"/>
    <w:pPr>
      <w:ind w:left="1050"/>
      <w:jc w:val="left"/>
    </w:pPr>
    <w:rPr>
      <w:rFonts w:eastAsiaTheme="minorHAnsi"/>
      <w:sz w:val="18"/>
      <w:szCs w:val="18"/>
    </w:rPr>
  </w:style>
  <w:style w:type="paragraph" w:styleId="31">
    <w:name w:val="Body Text Indent 3"/>
    <w:basedOn w:val="1"/>
    <w:link w:val="69"/>
    <w:qFormat/>
    <w:uiPriority w:val="99"/>
    <w:pPr>
      <w:spacing w:after="120"/>
      <w:ind w:left="420" w:leftChars="200"/>
    </w:pPr>
    <w:rPr>
      <w:rFonts w:ascii="Times New Roman" w:hAnsi="Times New Roman"/>
      <w:sz w:val="16"/>
      <w:szCs w:val="16"/>
      <w:lang w:val="zh-CN"/>
    </w:rPr>
  </w:style>
  <w:style w:type="paragraph" w:styleId="32">
    <w:name w:val="toc 2"/>
    <w:basedOn w:val="1"/>
    <w:next w:val="1"/>
    <w:unhideWhenUsed/>
    <w:qFormat/>
    <w:uiPriority w:val="39"/>
    <w:pPr>
      <w:widowControl/>
      <w:tabs>
        <w:tab w:val="left" w:pos="1810"/>
        <w:tab w:val="right" w:leader="dot" w:pos="8296"/>
      </w:tabs>
      <w:ind w:firstLine="640" w:firstLineChars="200"/>
      <w:jc w:val="left"/>
    </w:pPr>
    <w:rPr>
      <w:rFonts w:ascii="仿宋_GB2312" w:hAnsi="Times New Roman" w:eastAsia="仿宋_GB2312"/>
      <w:kern w:val="0"/>
      <w:sz w:val="32"/>
    </w:rPr>
  </w:style>
  <w:style w:type="paragraph" w:styleId="33">
    <w:name w:val="toc 9"/>
    <w:basedOn w:val="1"/>
    <w:next w:val="1"/>
    <w:unhideWhenUsed/>
    <w:qFormat/>
    <w:uiPriority w:val="39"/>
    <w:pPr>
      <w:ind w:left="1680"/>
      <w:jc w:val="left"/>
    </w:pPr>
    <w:rPr>
      <w:rFonts w:eastAsiaTheme="minorHAnsi"/>
      <w:sz w:val="18"/>
      <w:szCs w:val="18"/>
    </w:rPr>
  </w:style>
  <w:style w:type="paragraph" w:styleId="34">
    <w:name w:val="HTML Preformatted"/>
    <w:basedOn w:val="1"/>
    <w:link w:val="70"/>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Arial" w:hAnsi="Arial" w:cs="Arial"/>
      <w:kern w:val="0"/>
      <w:szCs w:val="24"/>
    </w:rPr>
  </w:style>
  <w:style w:type="paragraph" w:styleId="3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36">
    <w:name w:val="Title"/>
    <w:basedOn w:val="1"/>
    <w:next w:val="1"/>
    <w:link w:val="71"/>
    <w:qFormat/>
    <w:uiPriority w:val="99"/>
    <w:pPr>
      <w:spacing w:before="240" w:after="60"/>
      <w:jc w:val="left"/>
      <w:outlineLvl w:val="0"/>
    </w:pPr>
    <w:rPr>
      <w:rFonts w:ascii="Cambria" w:hAnsi="Cambria"/>
      <w:b/>
      <w:bCs/>
      <w:sz w:val="32"/>
      <w:szCs w:val="32"/>
      <w:lang w:val="zh-CN"/>
    </w:rPr>
  </w:style>
  <w:style w:type="paragraph" w:styleId="37">
    <w:name w:val="annotation subject"/>
    <w:basedOn w:val="15"/>
    <w:next w:val="15"/>
    <w:link w:val="72"/>
    <w:semiHidden/>
    <w:unhideWhenUsed/>
    <w:qFormat/>
    <w:uiPriority w:val="99"/>
    <w:rPr>
      <w:b/>
      <w:bCs/>
    </w:rPr>
  </w:style>
  <w:style w:type="table" w:styleId="39">
    <w:name w:val="Table Grid"/>
    <w:basedOn w:val="38"/>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0">
    <w:name w:val="Table Theme"/>
    <w:basedOn w:val="38"/>
    <w:qFormat/>
    <w:uiPriority w:val="0"/>
    <w:pPr>
      <w:widowControl w:val="0"/>
      <w:spacing w:line="360" w:lineRule="auto"/>
      <w:ind w:firstLine="48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2">
    <w:name w:val="Strong"/>
    <w:qFormat/>
    <w:uiPriority w:val="22"/>
    <w:rPr>
      <w:b/>
      <w:bCs/>
    </w:rPr>
  </w:style>
  <w:style w:type="character" w:styleId="43">
    <w:name w:val="page number"/>
    <w:basedOn w:val="41"/>
    <w:qFormat/>
    <w:uiPriority w:val="0"/>
  </w:style>
  <w:style w:type="character" w:styleId="44">
    <w:name w:val="FollowedHyperlink"/>
    <w:basedOn w:val="41"/>
    <w:unhideWhenUsed/>
    <w:qFormat/>
    <w:uiPriority w:val="99"/>
    <w:rPr>
      <w:color w:val="800080"/>
      <w:u w:val="single"/>
    </w:rPr>
  </w:style>
  <w:style w:type="character" w:styleId="45">
    <w:name w:val="Emphasis"/>
    <w:qFormat/>
    <w:uiPriority w:val="0"/>
    <w:rPr>
      <w:i/>
      <w:iCs/>
    </w:rPr>
  </w:style>
  <w:style w:type="character" w:styleId="46">
    <w:name w:val="Hyperlink"/>
    <w:basedOn w:val="41"/>
    <w:unhideWhenUsed/>
    <w:qFormat/>
    <w:uiPriority w:val="99"/>
    <w:rPr>
      <w:color w:val="0563C1" w:themeColor="hyperlink"/>
      <w:u w:val="single"/>
    </w:rPr>
  </w:style>
  <w:style w:type="character" w:styleId="47">
    <w:name w:val="annotation reference"/>
    <w:basedOn w:val="41"/>
    <w:unhideWhenUsed/>
    <w:qFormat/>
    <w:uiPriority w:val="99"/>
    <w:rPr>
      <w:sz w:val="21"/>
      <w:szCs w:val="21"/>
    </w:rPr>
  </w:style>
  <w:style w:type="character" w:styleId="48">
    <w:name w:val="footnote reference"/>
    <w:semiHidden/>
    <w:qFormat/>
    <w:uiPriority w:val="99"/>
    <w:rPr>
      <w:vertAlign w:val="superscript"/>
    </w:rPr>
  </w:style>
  <w:style w:type="character" w:customStyle="1" w:styleId="49">
    <w:name w:val="正文文本 Char"/>
    <w:basedOn w:val="41"/>
    <w:link w:val="16"/>
    <w:qFormat/>
    <w:uiPriority w:val="99"/>
    <w:rPr>
      <w:rFonts w:ascii="Times New Roman" w:hAnsi="Times New Roman" w:eastAsia="宋体" w:cs="Times New Roman"/>
      <w:sz w:val="24"/>
      <w:szCs w:val="24"/>
    </w:rPr>
  </w:style>
  <w:style w:type="character" w:customStyle="1" w:styleId="50">
    <w:name w:val="页脚 Char"/>
    <w:basedOn w:val="41"/>
    <w:link w:val="23"/>
    <w:qFormat/>
    <w:uiPriority w:val="99"/>
    <w:rPr>
      <w:sz w:val="18"/>
      <w:szCs w:val="18"/>
    </w:rPr>
  </w:style>
  <w:style w:type="character" w:customStyle="1" w:styleId="51">
    <w:name w:val="页眉 Char"/>
    <w:basedOn w:val="41"/>
    <w:link w:val="24"/>
    <w:qFormat/>
    <w:uiPriority w:val="99"/>
    <w:rPr>
      <w:sz w:val="18"/>
      <w:szCs w:val="18"/>
    </w:rPr>
  </w:style>
  <w:style w:type="character" w:customStyle="1" w:styleId="52">
    <w:name w:val="标题 1 Char"/>
    <w:basedOn w:val="41"/>
    <w:link w:val="2"/>
    <w:qFormat/>
    <w:uiPriority w:val="0"/>
    <w:rPr>
      <w:b/>
      <w:bCs/>
      <w:kern w:val="44"/>
      <w:sz w:val="44"/>
      <w:szCs w:val="44"/>
    </w:rPr>
  </w:style>
  <w:style w:type="character" w:customStyle="1" w:styleId="53">
    <w:name w:val="标题 3 Char"/>
    <w:basedOn w:val="41"/>
    <w:link w:val="4"/>
    <w:qFormat/>
    <w:uiPriority w:val="0"/>
    <w:rPr>
      <w:rFonts w:ascii="黑体" w:hAnsi="黑体" w:eastAsia="黑体"/>
      <w:kern w:val="2"/>
      <w:sz w:val="28"/>
      <w:szCs w:val="32"/>
    </w:rPr>
  </w:style>
  <w:style w:type="character" w:customStyle="1" w:styleId="54">
    <w:name w:val="批注框文本 Char"/>
    <w:basedOn w:val="41"/>
    <w:link w:val="22"/>
    <w:semiHidden/>
    <w:qFormat/>
    <w:uiPriority w:val="99"/>
    <w:rPr>
      <w:sz w:val="18"/>
      <w:szCs w:val="18"/>
    </w:rPr>
  </w:style>
  <w:style w:type="character" w:customStyle="1" w:styleId="55">
    <w:name w:val="标题 2 Char"/>
    <w:basedOn w:val="41"/>
    <w:link w:val="3"/>
    <w:qFormat/>
    <w:uiPriority w:val="0"/>
    <w:rPr>
      <w:rFonts w:asciiTheme="majorHAnsi" w:hAnsiTheme="majorHAnsi" w:eastAsiaTheme="majorEastAsia" w:cstheme="majorBidi"/>
      <w:b/>
      <w:bCs/>
      <w:sz w:val="32"/>
      <w:szCs w:val="32"/>
    </w:rPr>
  </w:style>
  <w:style w:type="character" w:customStyle="1" w:styleId="56">
    <w:name w:val="标题 4 Char"/>
    <w:basedOn w:val="41"/>
    <w:link w:val="5"/>
    <w:qFormat/>
    <w:uiPriority w:val="9"/>
    <w:rPr>
      <w:rFonts w:asciiTheme="majorHAnsi" w:hAnsiTheme="majorHAnsi" w:eastAsiaTheme="majorEastAsia" w:cstheme="majorBidi"/>
      <w:b/>
      <w:bCs/>
      <w:sz w:val="28"/>
      <w:szCs w:val="28"/>
    </w:rPr>
  </w:style>
  <w:style w:type="character" w:customStyle="1" w:styleId="57">
    <w:name w:val="标题 5 Char"/>
    <w:basedOn w:val="41"/>
    <w:link w:val="6"/>
    <w:qFormat/>
    <w:uiPriority w:val="9"/>
    <w:rPr>
      <w:rFonts w:ascii="Times New Roman" w:hAnsi="Times New Roman" w:eastAsia="宋体" w:cs="Times New Roman"/>
      <w:b/>
      <w:bCs/>
      <w:sz w:val="28"/>
      <w:szCs w:val="28"/>
    </w:rPr>
  </w:style>
  <w:style w:type="character" w:customStyle="1" w:styleId="58">
    <w:name w:val="标题 6 Char"/>
    <w:basedOn w:val="41"/>
    <w:link w:val="7"/>
    <w:qFormat/>
    <w:uiPriority w:val="9"/>
    <w:rPr>
      <w:rFonts w:ascii="Arial" w:hAnsi="Arial" w:eastAsia="黑体" w:cs="Times New Roman"/>
      <w:b/>
      <w:bCs/>
      <w:sz w:val="24"/>
      <w:szCs w:val="24"/>
    </w:rPr>
  </w:style>
  <w:style w:type="character" w:customStyle="1" w:styleId="59">
    <w:name w:val="标题 7 Char"/>
    <w:basedOn w:val="41"/>
    <w:link w:val="8"/>
    <w:qFormat/>
    <w:uiPriority w:val="9"/>
    <w:rPr>
      <w:rFonts w:ascii="Times New Roman" w:hAnsi="Times New Roman" w:eastAsia="宋体" w:cs="Times New Roman"/>
      <w:b/>
      <w:bCs/>
      <w:sz w:val="24"/>
      <w:szCs w:val="24"/>
      <w:lang w:val="zh-CN"/>
    </w:rPr>
  </w:style>
  <w:style w:type="character" w:customStyle="1" w:styleId="60">
    <w:name w:val="标题 8 Char"/>
    <w:basedOn w:val="41"/>
    <w:link w:val="9"/>
    <w:qFormat/>
    <w:uiPriority w:val="9"/>
    <w:rPr>
      <w:rFonts w:ascii="Arial" w:hAnsi="Arial" w:eastAsia="黑体" w:cs="Times New Roman"/>
      <w:sz w:val="24"/>
      <w:szCs w:val="24"/>
      <w:lang w:val="zh-CN"/>
    </w:rPr>
  </w:style>
  <w:style w:type="character" w:customStyle="1" w:styleId="61">
    <w:name w:val="标题 9 Char"/>
    <w:basedOn w:val="41"/>
    <w:link w:val="10"/>
    <w:qFormat/>
    <w:uiPriority w:val="9"/>
    <w:rPr>
      <w:rFonts w:ascii="Arial" w:hAnsi="Arial" w:eastAsia="黑体" w:cs="Times New Roman"/>
      <w:szCs w:val="21"/>
      <w:lang w:val="zh-CN"/>
    </w:rPr>
  </w:style>
  <w:style w:type="character" w:customStyle="1" w:styleId="62">
    <w:name w:val="文档结构图 Char"/>
    <w:basedOn w:val="41"/>
    <w:link w:val="14"/>
    <w:semiHidden/>
    <w:qFormat/>
    <w:uiPriority w:val="99"/>
    <w:rPr>
      <w:rFonts w:ascii="宋体" w:eastAsia="宋体"/>
      <w:sz w:val="18"/>
      <w:szCs w:val="18"/>
    </w:rPr>
  </w:style>
  <w:style w:type="character" w:customStyle="1" w:styleId="63">
    <w:name w:val="批注文字 Char"/>
    <w:basedOn w:val="41"/>
    <w:link w:val="15"/>
    <w:qFormat/>
    <w:uiPriority w:val="99"/>
  </w:style>
  <w:style w:type="character" w:customStyle="1" w:styleId="64">
    <w:name w:val="正文文本缩进 Char"/>
    <w:basedOn w:val="41"/>
    <w:link w:val="17"/>
    <w:qFormat/>
    <w:uiPriority w:val="99"/>
  </w:style>
  <w:style w:type="character" w:customStyle="1" w:styleId="65">
    <w:name w:val="正文文本缩进 2 Char"/>
    <w:basedOn w:val="41"/>
    <w:link w:val="21"/>
    <w:qFormat/>
    <w:uiPriority w:val="99"/>
    <w:rPr>
      <w:rFonts w:ascii="Times New Roman" w:hAnsi="Times New Roman" w:eastAsia="宋体" w:cs="Times New Roman"/>
      <w:sz w:val="24"/>
      <w:szCs w:val="24"/>
      <w:lang w:val="zh-CN"/>
    </w:rPr>
  </w:style>
  <w:style w:type="character" w:customStyle="1" w:styleId="66">
    <w:name w:val="副标题 Char"/>
    <w:basedOn w:val="41"/>
    <w:link w:val="27"/>
    <w:qFormat/>
    <w:uiPriority w:val="99"/>
    <w:rPr>
      <w:rFonts w:ascii="等线 Light" w:hAnsi="等线 Light" w:eastAsia="方正黑体_GBK" w:cs="Times New Roman"/>
      <w:bCs/>
      <w:kern w:val="28"/>
      <w:sz w:val="32"/>
      <w:szCs w:val="32"/>
      <w:lang w:val="zh-CN"/>
    </w:rPr>
  </w:style>
  <w:style w:type="character" w:customStyle="1" w:styleId="67">
    <w:name w:val="正文首行缩进 2 Char"/>
    <w:basedOn w:val="64"/>
    <w:link w:val="28"/>
    <w:semiHidden/>
    <w:qFormat/>
    <w:uiPriority w:val="99"/>
  </w:style>
  <w:style w:type="character" w:customStyle="1" w:styleId="68">
    <w:name w:val="脚注文本 Char"/>
    <w:basedOn w:val="41"/>
    <w:link w:val="29"/>
    <w:semiHidden/>
    <w:qFormat/>
    <w:uiPriority w:val="99"/>
    <w:rPr>
      <w:rFonts w:ascii="Times New Roman" w:hAnsi="Times New Roman" w:eastAsia="宋体" w:cs="Times New Roman"/>
      <w:sz w:val="18"/>
      <w:szCs w:val="18"/>
    </w:rPr>
  </w:style>
  <w:style w:type="character" w:customStyle="1" w:styleId="69">
    <w:name w:val="正文文本缩进 3 Char"/>
    <w:basedOn w:val="41"/>
    <w:link w:val="31"/>
    <w:qFormat/>
    <w:uiPriority w:val="99"/>
    <w:rPr>
      <w:rFonts w:ascii="Times New Roman" w:hAnsi="Times New Roman" w:eastAsia="宋体" w:cs="Times New Roman"/>
      <w:sz w:val="16"/>
      <w:szCs w:val="16"/>
      <w:lang w:val="zh-CN"/>
    </w:rPr>
  </w:style>
  <w:style w:type="character" w:customStyle="1" w:styleId="70">
    <w:name w:val="HTML 预设格式 Char"/>
    <w:basedOn w:val="41"/>
    <w:link w:val="34"/>
    <w:qFormat/>
    <w:uiPriority w:val="99"/>
    <w:rPr>
      <w:rFonts w:ascii="Arial" w:hAnsi="Arial" w:eastAsia="宋体" w:cs="Arial"/>
      <w:kern w:val="0"/>
      <w:szCs w:val="24"/>
    </w:rPr>
  </w:style>
  <w:style w:type="character" w:customStyle="1" w:styleId="71">
    <w:name w:val="标题 Char"/>
    <w:basedOn w:val="41"/>
    <w:link w:val="36"/>
    <w:qFormat/>
    <w:uiPriority w:val="99"/>
    <w:rPr>
      <w:rFonts w:ascii="Cambria" w:hAnsi="Cambria" w:eastAsia="宋体" w:cs="Times New Roman"/>
      <w:b/>
      <w:bCs/>
      <w:sz w:val="32"/>
      <w:szCs w:val="32"/>
      <w:lang w:val="zh-CN"/>
    </w:rPr>
  </w:style>
  <w:style w:type="character" w:customStyle="1" w:styleId="72">
    <w:name w:val="批注主题 Char"/>
    <w:basedOn w:val="63"/>
    <w:link w:val="37"/>
    <w:semiHidden/>
    <w:qFormat/>
    <w:uiPriority w:val="99"/>
    <w:rPr>
      <w:b/>
      <w:bCs/>
    </w:rPr>
  </w:style>
  <w:style w:type="paragraph" w:styleId="73">
    <w:name w:val="List Paragraph"/>
    <w:basedOn w:val="1"/>
    <w:qFormat/>
    <w:uiPriority w:val="34"/>
    <w:pPr>
      <w:ind w:firstLine="420" w:firstLineChars="200"/>
    </w:pPr>
  </w:style>
  <w:style w:type="paragraph" w:customStyle="1" w:styleId="74">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75">
    <w:name w:val="修订2"/>
    <w:hidden/>
    <w:semiHidden/>
    <w:qFormat/>
    <w:uiPriority w:val="99"/>
    <w:rPr>
      <w:rFonts w:asciiTheme="minorHAnsi" w:hAnsiTheme="minorHAnsi" w:eastAsiaTheme="minorEastAsia" w:cstheme="minorBidi"/>
      <w:kern w:val="2"/>
      <w:sz w:val="21"/>
      <w:szCs w:val="22"/>
      <w:lang w:val="en-US" w:eastAsia="zh-CN" w:bidi="ar-SA"/>
    </w:rPr>
  </w:style>
  <w:style w:type="table" w:customStyle="1" w:styleId="76">
    <w:name w:val="网格型2"/>
    <w:basedOn w:val="38"/>
    <w:qFormat/>
    <w:uiPriority w:val="59"/>
    <w:rPr>
      <w:rFonts w:eastAsia="微软雅黑"/>
      <w:sz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7">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78">
    <w:name w:val="Table Paragraph"/>
    <w:basedOn w:val="1"/>
    <w:qFormat/>
    <w:uiPriority w:val="1"/>
    <w:pPr>
      <w:autoSpaceDE w:val="0"/>
      <w:autoSpaceDN w:val="0"/>
      <w:jc w:val="left"/>
    </w:pPr>
    <w:rPr>
      <w:rFonts w:ascii="微软雅黑" w:hAnsi="微软雅黑" w:eastAsia="微软雅黑" w:cs="微软雅黑"/>
      <w:kern w:val="0"/>
      <w:sz w:val="22"/>
    </w:rPr>
  </w:style>
  <w:style w:type="table" w:customStyle="1" w:styleId="79">
    <w:name w:val="网格型1031"/>
    <w:basedOn w:val="38"/>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0">
    <w:name w:val="Default"/>
    <w:qFormat/>
    <w:uiPriority w:val="99"/>
    <w:pPr>
      <w:widowControl w:val="0"/>
      <w:autoSpaceDE w:val="0"/>
      <w:autoSpaceDN w:val="0"/>
      <w:adjustRightInd w:val="0"/>
    </w:pPr>
    <w:rPr>
      <w:rFonts w:ascii="仿宋" w:eastAsia="仿宋" w:cs="仿宋" w:hAnsiTheme="minorHAnsi"/>
      <w:color w:val="000000"/>
      <w:sz w:val="24"/>
      <w:szCs w:val="24"/>
      <w:lang w:val="en-US" w:eastAsia="zh-CN" w:bidi="ar-SA"/>
    </w:rPr>
  </w:style>
  <w:style w:type="paragraph" w:customStyle="1" w:styleId="81">
    <w:name w:val="节标题"/>
    <w:basedOn w:val="3"/>
    <w:next w:val="1"/>
    <w:qFormat/>
    <w:uiPriority w:val="99"/>
    <w:pPr>
      <w:spacing w:beforeLines="100" w:afterLines="100" w:line="360" w:lineRule="auto"/>
      <w:ind w:firstLine="200" w:firstLineChars="200"/>
      <w:jc w:val="center"/>
    </w:pPr>
    <w:rPr>
      <w:rFonts w:ascii="宋体" w:hAnsi="宋体" w:eastAsia="宋体" w:cstheme="minorBidi"/>
      <w:color w:val="000000" w:themeColor="text1"/>
      <w:kern w:val="44"/>
      <w:szCs w:val="36"/>
    </w:rPr>
  </w:style>
  <w:style w:type="paragraph" w:customStyle="1" w:styleId="82">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F5496" w:themeColor="accent1" w:themeShade="BF"/>
      <w:kern w:val="0"/>
      <w:sz w:val="28"/>
      <w:szCs w:val="28"/>
    </w:rPr>
  </w:style>
  <w:style w:type="paragraph" w:customStyle="1" w:styleId="83">
    <w:name w:val="列出段落1"/>
    <w:basedOn w:val="1"/>
    <w:qFormat/>
    <w:uiPriority w:val="99"/>
    <w:pPr>
      <w:ind w:firstLine="420" w:firstLineChars="200"/>
    </w:pPr>
  </w:style>
  <w:style w:type="character" w:customStyle="1" w:styleId="84">
    <w:name w:val="报告书 正文 Char"/>
    <w:link w:val="85"/>
    <w:qFormat/>
    <w:locked/>
    <w:uiPriority w:val="0"/>
    <w:rPr>
      <w:rFonts w:eastAsia="仿宋_GB2312"/>
      <w:sz w:val="28"/>
      <w:szCs w:val="24"/>
    </w:rPr>
  </w:style>
  <w:style w:type="paragraph" w:customStyle="1" w:styleId="85">
    <w:name w:val="报告书 正文"/>
    <w:link w:val="84"/>
    <w:qFormat/>
    <w:uiPriority w:val="0"/>
    <w:pPr>
      <w:widowControl w:val="0"/>
      <w:adjustRightInd w:val="0"/>
      <w:snapToGrid w:val="0"/>
      <w:spacing w:line="500" w:lineRule="exact"/>
      <w:ind w:firstLine="200" w:firstLineChars="200"/>
      <w:jc w:val="both"/>
    </w:pPr>
    <w:rPr>
      <w:rFonts w:eastAsia="仿宋_GB2312" w:asciiTheme="minorHAnsi" w:hAnsiTheme="minorHAnsi" w:cstheme="minorBidi"/>
      <w:kern w:val="2"/>
      <w:sz w:val="28"/>
      <w:szCs w:val="24"/>
      <w:lang w:val="en-US" w:eastAsia="zh-CN" w:bidi="ar-SA"/>
    </w:rPr>
  </w:style>
  <w:style w:type="paragraph" w:customStyle="1" w:styleId="86">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F5496" w:themeColor="accent1" w:themeShade="BF"/>
      <w:kern w:val="0"/>
      <w:sz w:val="28"/>
      <w:szCs w:val="28"/>
    </w:rPr>
  </w:style>
  <w:style w:type="paragraph" w:customStyle="1" w:styleId="87">
    <w:name w:val="常州正文"/>
    <w:basedOn w:val="1"/>
    <w:link w:val="88"/>
    <w:qFormat/>
    <w:uiPriority w:val="0"/>
    <w:pPr>
      <w:spacing w:beforeLines="50" w:line="420" w:lineRule="exact"/>
      <w:ind w:firstLine="480" w:firstLineChars="200"/>
    </w:pPr>
    <w:rPr>
      <w:rFonts w:ascii="宋体" w:hAnsi="宋体"/>
      <w:kern w:val="0"/>
      <w:sz w:val="24"/>
      <w:szCs w:val="24"/>
      <w:lang w:val="zh-CN"/>
    </w:rPr>
  </w:style>
  <w:style w:type="character" w:customStyle="1" w:styleId="88">
    <w:name w:val="常州正文 Char"/>
    <w:link w:val="87"/>
    <w:qFormat/>
    <w:uiPriority w:val="0"/>
    <w:rPr>
      <w:rFonts w:ascii="宋体" w:hAnsi="宋体" w:eastAsia="宋体" w:cs="Times New Roman"/>
      <w:kern w:val="0"/>
      <w:sz w:val="24"/>
      <w:szCs w:val="24"/>
      <w:lang w:val="zh-CN"/>
    </w:rPr>
  </w:style>
  <w:style w:type="paragraph" w:customStyle="1" w:styleId="89">
    <w:name w:val="正文1"/>
    <w:qFormat/>
    <w:uiPriority w:val="99"/>
    <w:pPr>
      <w:jc w:val="both"/>
    </w:pPr>
    <w:rPr>
      <w:rFonts w:ascii="Calibri" w:hAnsi="Calibri" w:eastAsia="宋体" w:cs="Calibri"/>
      <w:kern w:val="2"/>
      <w:sz w:val="21"/>
      <w:szCs w:val="21"/>
      <w:lang w:val="en-US" w:eastAsia="zh-CN" w:bidi="ar-SA"/>
    </w:rPr>
  </w:style>
  <w:style w:type="paragraph" w:customStyle="1" w:styleId="90">
    <w:name w:val="表格（图）-DG"/>
    <w:basedOn w:val="1"/>
    <w:qFormat/>
    <w:uiPriority w:val="99"/>
    <w:pPr>
      <w:widowControl/>
      <w:spacing w:line="240" w:lineRule="atLeast"/>
      <w:jc w:val="center"/>
    </w:pPr>
    <w:rPr>
      <w:rFonts w:ascii="Times New Roman" w:hAnsi="Times New Roman"/>
      <w:kern w:val="0"/>
      <w:sz w:val="18"/>
      <w:szCs w:val="20"/>
    </w:rPr>
  </w:style>
  <w:style w:type="paragraph" w:customStyle="1" w:styleId="91">
    <w:name w:val="正文2"/>
    <w:qFormat/>
    <w:uiPriority w:val="99"/>
    <w:pPr>
      <w:jc w:val="both"/>
    </w:pPr>
    <w:rPr>
      <w:rFonts w:ascii="Calibri" w:hAnsi="Calibri" w:eastAsia="宋体" w:cs="Calibri"/>
      <w:kern w:val="2"/>
      <w:sz w:val="21"/>
      <w:szCs w:val="21"/>
      <w:lang w:val="en-US" w:eastAsia="zh-CN" w:bidi="ar-SA"/>
    </w:rPr>
  </w:style>
  <w:style w:type="character" w:customStyle="1" w:styleId="92">
    <w:name w:val="标题 1 字符1"/>
    <w:qFormat/>
    <w:uiPriority w:val="9"/>
    <w:rPr>
      <w:rFonts w:ascii="黑体" w:hAnsi="Times New Roman" w:eastAsia="黑体" w:cs="Times New Roman"/>
      <w:b/>
      <w:bCs/>
      <w:kern w:val="0"/>
      <w:sz w:val="32"/>
      <w:szCs w:val="32"/>
      <w:lang w:val="zh-CN" w:eastAsia="zh-CN"/>
    </w:rPr>
  </w:style>
  <w:style w:type="character" w:customStyle="1" w:styleId="93">
    <w:name w:val="列出段落 Char"/>
    <w:qFormat/>
    <w:uiPriority w:val="34"/>
    <w:rPr>
      <w:rFonts w:ascii="Calibri" w:hAnsi="Calibri" w:eastAsia="宋体" w:cs="Times New Roman"/>
      <w:lang w:val="zh-CN" w:eastAsia="zh-CN"/>
    </w:rPr>
  </w:style>
  <w:style w:type="paragraph" w:customStyle="1" w:styleId="94">
    <w:name w:val="4标题"/>
    <w:basedOn w:val="1"/>
    <w:qFormat/>
    <w:uiPriority w:val="99"/>
    <w:pPr>
      <w:spacing w:line="360" w:lineRule="auto"/>
      <w:ind w:firstLine="480" w:firstLineChars="200"/>
    </w:pPr>
    <w:rPr>
      <w:rFonts w:ascii="Times New Roman" w:hAnsi="Times New Roman" w:eastAsia="仿宋"/>
      <w:sz w:val="28"/>
      <w:szCs w:val="24"/>
    </w:rPr>
  </w:style>
  <w:style w:type="paragraph" w:customStyle="1" w:styleId="95">
    <w:name w:val="附录表标题"/>
    <w:next w:val="1"/>
    <w:qFormat/>
    <w:uiPriority w:val="99"/>
    <w:pPr>
      <w:tabs>
        <w:tab w:val="left" w:pos="360"/>
      </w:tabs>
      <w:jc w:val="center"/>
      <w:textAlignment w:val="baseline"/>
    </w:pPr>
    <w:rPr>
      <w:rFonts w:ascii="黑体" w:hAnsi="Times New Roman" w:eastAsia="黑体" w:cs="Times New Roman"/>
      <w:kern w:val="21"/>
      <w:sz w:val="21"/>
      <w:lang w:val="en-US" w:eastAsia="zh-CN" w:bidi="ar-SA"/>
    </w:rPr>
  </w:style>
  <w:style w:type="paragraph" w:customStyle="1" w:styleId="96">
    <w:name w:val="msonormal"/>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97">
    <w:name w:val="font5"/>
    <w:basedOn w:val="1"/>
    <w:qFormat/>
    <w:uiPriority w:val="99"/>
    <w:pPr>
      <w:widowControl/>
      <w:spacing w:before="100" w:beforeAutospacing="1" w:after="100" w:afterAutospacing="1"/>
      <w:jc w:val="left"/>
    </w:pPr>
    <w:rPr>
      <w:rFonts w:ascii="宋体" w:hAnsi="宋体" w:cs="宋体"/>
      <w:color w:val="000000"/>
      <w:kern w:val="0"/>
      <w:sz w:val="22"/>
    </w:rPr>
  </w:style>
  <w:style w:type="paragraph" w:customStyle="1" w:styleId="98">
    <w:name w:val="font6"/>
    <w:basedOn w:val="1"/>
    <w:qFormat/>
    <w:uiPriority w:val="99"/>
    <w:pPr>
      <w:widowControl/>
      <w:spacing w:before="100" w:beforeAutospacing="1" w:after="100" w:afterAutospacing="1"/>
      <w:jc w:val="left"/>
    </w:pPr>
    <w:rPr>
      <w:rFonts w:ascii="宋体" w:hAnsi="宋体" w:cs="宋体"/>
      <w:color w:val="000000"/>
      <w:kern w:val="0"/>
      <w:sz w:val="22"/>
    </w:rPr>
  </w:style>
  <w:style w:type="paragraph" w:customStyle="1" w:styleId="99">
    <w:name w:val="xl12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szCs w:val="24"/>
    </w:rPr>
  </w:style>
  <w:style w:type="paragraph" w:customStyle="1" w:styleId="100">
    <w:name w:val="xl130"/>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101">
    <w:name w:val="xl13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szCs w:val="24"/>
    </w:rPr>
  </w:style>
  <w:style w:type="paragraph" w:customStyle="1" w:styleId="102">
    <w:name w:val="xl13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103">
    <w:name w:val="xl133"/>
    <w:basedOn w:val="1"/>
    <w:qFormat/>
    <w:uiPriority w:val="99"/>
    <w:pPr>
      <w:widowControl/>
      <w:spacing w:before="100" w:beforeAutospacing="1" w:after="100" w:afterAutospacing="1"/>
      <w:jc w:val="center"/>
    </w:pPr>
    <w:rPr>
      <w:rFonts w:ascii="宋体" w:hAnsi="宋体" w:cs="宋体"/>
      <w:kern w:val="0"/>
      <w:sz w:val="24"/>
      <w:szCs w:val="24"/>
    </w:rPr>
  </w:style>
  <w:style w:type="paragraph" w:customStyle="1" w:styleId="104">
    <w:name w:val="xl134"/>
    <w:basedOn w:val="1"/>
    <w:qFormat/>
    <w:uiPriority w:val="99"/>
    <w:pPr>
      <w:widowControl/>
      <w:spacing w:before="100" w:beforeAutospacing="1" w:after="100" w:afterAutospacing="1"/>
      <w:jc w:val="center"/>
    </w:pPr>
    <w:rPr>
      <w:rFonts w:ascii="宋体" w:hAnsi="宋体" w:cs="宋体"/>
      <w:b/>
      <w:bCs/>
      <w:kern w:val="0"/>
      <w:sz w:val="24"/>
      <w:szCs w:val="24"/>
    </w:rPr>
  </w:style>
  <w:style w:type="paragraph" w:customStyle="1" w:styleId="105">
    <w:name w:val="TOC 标题2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F5496" w:themeColor="accent1" w:themeShade="BF"/>
      <w:kern w:val="0"/>
      <w:sz w:val="28"/>
      <w:szCs w:val="28"/>
    </w:rPr>
  </w:style>
  <w:style w:type="paragraph" w:customStyle="1" w:styleId="106">
    <w:name w:val="Char"/>
    <w:basedOn w:val="1"/>
    <w:qFormat/>
    <w:uiPriority w:val="99"/>
    <w:pPr>
      <w:spacing w:line="360" w:lineRule="auto"/>
      <w:ind w:firstLine="200" w:firstLineChars="200"/>
    </w:pPr>
    <w:rPr>
      <w:rFonts w:ascii="宋体" w:hAnsi="宋体" w:cs="宋体"/>
      <w:szCs w:val="24"/>
    </w:rPr>
  </w:style>
  <w:style w:type="paragraph" w:customStyle="1" w:styleId="107">
    <w:name w:val="正文-第几条"/>
    <w:basedOn w:val="1"/>
    <w:qFormat/>
    <w:uiPriority w:val="99"/>
    <w:pPr>
      <w:tabs>
        <w:tab w:val="left" w:pos="2019"/>
      </w:tabs>
      <w:spacing w:line="360" w:lineRule="auto"/>
      <w:ind w:left="2019"/>
    </w:pPr>
    <w:rPr>
      <w:rFonts w:ascii="Times New Roman" w:hAnsi="Times New Roman"/>
      <w:szCs w:val="24"/>
    </w:rPr>
  </w:style>
  <w:style w:type="paragraph" w:customStyle="1" w:styleId="108">
    <w:name w:val="Char Char Char Char Char Char Char Char Char Char Char Char Char"/>
    <w:basedOn w:val="1"/>
    <w:qFormat/>
    <w:uiPriority w:val="99"/>
    <w:pPr>
      <w:spacing w:line="360" w:lineRule="auto"/>
      <w:ind w:firstLine="200" w:firstLineChars="200"/>
    </w:pPr>
    <w:rPr>
      <w:rFonts w:ascii="宋体" w:hAnsi="宋体" w:cs="宋体"/>
      <w:szCs w:val="24"/>
    </w:rPr>
  </w:style>
  <w:style w:type="paragraph" w:customStyle="1" w:styleId="109">
    <w:name w:val="aaa标题2"/>
    <w:qFormat/>
    <w:uiPriority w:val="99"/>
    <w:pPr>
      <w:spacing w:beforeLines="100" w:afterLines="50" w:line="400" w:lineRule="exact"/>
    </w:pPr>
    <w:rPr>
      <w:rFonts w:ascii="宋体" w:hAnsi="Times New Roman" w:eastAsia="宋体" w:cs="Times New Roman"/>
      <w:b/>
      <w:sz w:val="28"/>
      <w:lang w:val="en-US" w:eastAsia="zh-CN" w:bidi="ar-SA"/>
    </w:rPr>
  </w:style>
  <w:style w:type="paragraph" w:customStyle="1" w:styleId="110">
    <w:name w:val="aaa标题3"/>
    <w:qFormat/>
    <w:uiPriority w:val="99"/>
    <w:pPr>
      <w:spacing w:beforeLines="50" w:afterLines="30" w:line="400" w:lineRule="exact"/>
      <w:ind w:firstLine="482" w:firstLineChars="200"/>
    </w:pPr>
    <w:rPr>
      <w:rFonts w:ascii="宋体" w:hAnsi="Times New Roman" w:eastAsia="宋体" w:cs="Times New Roman"/>
      <w:b/>
      <w:sz w:val="24"/>
      <w:lang w:val="en-US" w:eastAsia="zh-CN" w:bidi="ar-SA"/>
    </w:rPr>
  </w:style>
  <w:style w:type="character" w:customStyle="1" w:styleId="111">
    <w:name w:val="第一部分 Char"/>
    <w:qFormat/>
    <w:uiPriority w:val="0"/>
    <w:rPr>
      <w:rFonts w:ascii="黑体" w:hAnsi="Times New Roman" w:eastAsia="黑体" w:cs="Times New Roman"/>
      <w:b/>
      <w:bCs/>
      <w:kern w:val="0"/>
      <w:sz w:val="44"/>
      <w:szCs w:val="44"/>
    </w:rPr>
  </w:style>
  <w:style w:type="character" w:customStyle="1" w:styleId="112">
    <w:name w:val="标题 4－s Char Char"/>
    <w:qFormat/>
    <w:uiPriority w:val="0"/>
    <w:rPr>
      <w:rFonts w:ascii="Times New Roman" w:hAnsi="Times New Roman" w:eastAsia="宋体" w:cs="Times New Roman"/>
      <w:sz w:val="28"/>
      <w:szCs w:val="20"/>
    </w:rPr>
  </w:style>
  <w:style w:type="paragraph" w:customStyle="1" w:styleId="113">
    <w:name w:val="aaa正文"/>
    <w:qFormat/>
    <w:uiPriority w:val="99"/>
    <w:pPr>
      <w:widowControl w:val="0"/>
      <w:spacing w:beforeLines="30" w:afterLines="30" w:line="400" w:lineRule="exact"/>
      <w:ind w:firstLine="200" w:firstLineChars="200"/>
      <w:jc w:val="both"/>
    </w:pPr>
    <w:rPr>
      <w:rFonts w:ascii="宋体" w:hAnsi="Times New Roman" w:eastAsia="宋体" w:cs="Times New Roman"/>
      <w:kern w:val="2"/>
      <w:sz w:val="24"/>
      <w:lang w:val="en-US" w:eastAsia="zh-CN" w:bidi="ar-SA"/>
    </w:rPr>
  </w:style>
  <w:style w:type="paragraph" w:customStyle="1" w:styleId="114">
    <w:name w:val="样式 图题 Char Char + 段前: 0.6 行"/>
    <w:basedOn w:val="1"/>
    <w:qFormat/>
    <w:uiPriority w:val="99"/>
    <w:pPr>
      <w:tabs>
        <w:tab w:val="left" w:pos="2700"/>
      </w:tabs>
      <w:adjustRightInd w:val="0"/>
      <w:spacing w:beforeLines="60" w:line="400" w:lineRule="exact"/>
      <w:ind w:left="2700"/>
      <w:jc w:val="center"/>
      <w:textAlignment w:val="baseline"/>
    </w:pPr>
    <w:rPr>
      <w:rFonts w:ascii="宋体" w:hAnsi="宋体"/>
      <w:szCs w:val="20"/>
    </w:rPr>
  </w:style>
  <w:style w:type="paragraph" w:customStyle="1" w:styleId="115">
    <w:name w:val="说明"/>
    <w:basedOn w:val="1"/>
    <w:qFormat/>
    <w:uiPriority w:val="99"/>
    <w:pPr>
      <w:spacing w:line="360" w:lineRule="auto"/>
      <w:ind w:left="480"/>
    </w:pPr>
    <w:rPr>
      <w:rFonts w:ascii="Times New Roman" w:hAnsi="Times New Roman"/>
      <w:szCs w:val="24"/>
    </w:rPr>
  </w:style>
  <w:style w:type="paragraph" w:customStyle="1" w:styleId="116">
    <w:name w:val="标题3"/>
    <w:basedOn w:val="1"/>
    <w:qFormat/>
    <w:uiPriority w:val="99"/>
    <w:rPr>
      <w:rFonts w:ascii="仿宋_GB2312" w:hAnsi="Times New Roman" w:eastAsia="仿宋_GB2312"/>
      <w:sz w:val="28"/>
      <w:szCs w:val="28"/>
    </w:rPr>
  </w:style>
  <w:style w:type="paragraph" w:customStyle="1" w:styleId="117">
    <w:name w:val="Char5"/>
    <w:basedOn w:val="1"/>
    <w:qFormat/>
    <w:uiPriority w:val="99"/>
    <w:pPr>
      <w:spacing w:line="360" w:lineRule="auto"/>
      <w:ind w:firstLine="200" w:firstLineChars="200"/>
    </w:pPr>
    <w:rPr>
      <w:rFonts w:ascii="宋体" w:hAnsi="宋体" w:cs="宋体"/>
      <w:szCs w:val="24"/>
    </w:rPr>
  </w:style>
  <w:style w:type="paragraph" w:customStyle="1" w:styleId="118">
    <w:name w:val="Char Char Char Char Char Char Char Char Char Char"/>
    <w:basedOn w:val="1"/>
    <w:qFormat/>
    <w:uiPriority w:val="99"/>
    <w:pPr>
      <w:spacing w:line="360" w:lineRule="auto"/>
      <w:ind w:firstLine="200" w:firstLineChars="200"/>
    </w:pPr>
    <w:rPr>
      <w:rFonts w:ascii="宋体" w:hAnsi="宋体" w:cs="宋体"/>
      <w:szCs w:val="24"/>
    </w:rPr>
  </w:style>
  <w:style w:type="paragraph" w:customStyle="1" w:styleId="119">
    <w:name w:val="Char Char Char Char"/>
    <w:basedOn w:val="1"/>
    <w:qFormat/>
    <w:uiPriority w:val="99"/>
    <w:pPr>
      <w:spacing w:line="360" w:lineRule="auto"/>
      <w:ind w:firstLine="200" w:firstLineChars="200"/>
    </w:pPr>
    <w:rPr>
      <w:rFonts w:ascii="宋体" w:hAnsi="宋体" w:cs="宋体"/>
      <w:szCs w:val="24"/>
    </w:rPr>
  </w:style>
  <w:style w:type="character" w:customStyle="1" w:styleId="120">
    <w:name w:val="Char Char3"/>
    <w:qFormat/>
    <w:uiPriority w:val="0"/>
    <w:rPr>
      <w:rFonts w:eastAsia="宋体"/>
      <w:kern w:val="2"/>
      <w:sz w:val="18"/>
      <w:szCs w:val="18"/>
      <w:lang w:val="en-US" w:eastAsia="zh-CN" w:bidi="ar-SA"/>
    </w:rPr>
  </w:style>
  <w:style w:type="paragraph" w:customStyle="1" w:styleId="121">
    <w:name w:val="标准正文"/>
    <w:basedOn w:val="1"/>
    <w:qFormat/>
    <w:uiPriority w:val="99"/>
    <w:pPr>
      <w:spacing w:line="420" w:lineRule="exact"/>
      <w:ind w:firstLine="480" w:firstLineChars="200"/>
    </w:pPr>
    <w:rPr>
      <w:rFonts w:ascii="Times New Roman" w:hAnsi="Times New Roman"/>
      <w:szCs w:val="24"/>
    </w:rPr>
  </w:style>
  <w:style w:type="paragraph" w:customStyle="1" w:styleId="122">
    <w:name w:val="Char11"/>
    <w:basedOn w:val="1"/>
    <w:qFormat/>
    <w:uiPriority w:val="99"/>
    <w:pPr>
      <w:spacing w:line="360" w:lineRule="auto"/>
      <w:ind w:firstLine="200" w:firstLineChars="200"/>
    </w:pPr>
    <w:rPr>
      <w:rFonts w:ascii="宋体" w:hAnsi="宋体" w:cs="宋体"/>
      <w:szCs w:val="24"/>
    </w:rPr>
  </w:style>
  <w:style w:type="paragraph" w:customStyle="1" w:styleId="123">
    <w:name w:val="Char Char Char Char Char Char Char Char Char Char Char Char1 Char"/>
    <w:basedOn w:val="1"/>
    <w:qFormat/>
    <w:uiPriority w:val="99"/>
    <w:pPr>
      <w:spacing w:line="360" w:lineRule="auto"/>
      <w:ind w:firstLine="200" w:firstLineChars="200"/>
    </w:pPr>
    <w:rPr>
      <w:rFonts w:ascii="宋体" w:hAnsi="宋体" w:cs="宋体"/>
      <w:szCs w:val="24"/>
    </w:rPr>
  </w:style>
  <w:style w:type="paragraph" w:customStyle="1" w:styleId="124">
    <w:name w:val="aaa标题1"/>
    <w:qFormat/>
    <w:uiPriority w:val="99"/>
    <w:pPr>
      <w:spacing w:beforeLines="250" w:afterLines="120" w:line="400" w:lineRule="exact"/>
      <w:jc w:val="center"/>
    </w:pPr>
    <w:rPr>
      <w:rFonts w:ascii="黑体" w:hAnsi="Times New Roman" w:eastAsia="黑体" w:cs="Times New Roman"/>
      <w:b/>
      <w:sz w:val="32"/>
      <w:lang w:val="en-US" w:eastAsia="zh-CN" w:bidi="ar-SA"/>
    </w:rPr>
  </w:style>
  <w:style w:type="paragraph" w:customStyle="1" w:styleId="125">
    <w:name w:val="Char Char1 Char"/>
    <w:basedOn w:val="1"/>
    <w:qFormat/>
    <w:uiPriority w:val="99"/>
    <w:pPr>
      <w:spacing w:line="360" w:lineRule="auto"/>
      <w:ind w:firstLine="200" w:firstLineChars="200"/>
    </w:pPr>
    <w:rPr>
      <w:rFonts w:ascii="宋体" w:hAnsi="宋体" w:cs="宋体"/>
      <w:szCs w:val="24"/>
    </w:rPr>
  </w:style>
  <w:style w:type="paragraph" w:customStyle="1" w:styleId="126">
    <w:name w:val="1-正文"/>
    <w:basedOn w:val="1"/>
    <w:qFormat/>
    <w:uiPriority w:val="99"/>
    <w:pPr>
      <w:spacing w:line="360" w:lineRule="auto"/>
      <w:ind w:firstLine="480" w:firstLineChars="200"/>
    </w:pPr>
    <w:rPr>
      <w:rFonts w:ascii="宋体" w:hAnsi="宋体" w:cs="宋体"/>
      <w:szCs w:val="24"/>
    </w:rPr>
  </w:style>
  <w:style w:type="paragraph" w:customStyle="1" w:styleId="127">
    <w:name w:val="条题"/>
    <w:basedOn w:val="1"/>
    <w:link w:val="128"/>
    <w:qFormat/>
    <w:uiPriority w:val="0"/>
    <w:pPr>
      <w:spacing w:line="420" w:lineRule="exact"/>
      <w:ind w:right="480" w:rightChars="200"/>
    </w:pPr>
    <w:rPr>
      <w:rFonts w:ascii="Times New Roman" w:hAnsi="Times New Roman"/>
      <w:kern w:val="0"/>
      <w:sz w:val="24"/>
      <w:szCs w:val="20"/>
      <w:lang w:val="zh-CN"/>
    </w:rPr>
  </w:style>
  <w:style w:type="character" w:customStyle="1" w:styleId="128">
    <w:name w:val="条题[858D7CFB-ED40-4347-BF05-701D383B685F]2"/>
    <w:link w:val="127"/>
    <w:qFormat/>
    <w:uiPriority w:val="0"/>
    <w:rPr>
      <w:rFonts w:ascii="Times New Roman" w:hAnsi="Times New Roman" w:eastAsia="宋体" w:cs="Times New Roman"/>
      <w:kern w:val="0"/>
      <w:sz w:val="24"/>
      <w:szCs w:val="20"/>
      <w:lang w:val="zh-CN"/>
    </w:rPr>
  </w:style>
  <w:style w:type="paragraph" w:customStyle="1" w:styleId="129">
    <w:name w:val="无锡正文"/>
    <w:basedOn w:val="1"/>
    <w:link w:val="130"/>
    <w:qFormat/>
    <w:uiPriority w:val="0"/>
    <w:pPr>
      <w:spacing w:beforeLines="50" w:line="420" w:lineRule="exact"/>
      <w:ind w:firstLine="480" w:firstLineChars="200"/>
    </w:pPr>
    <w:rPr>
      <w:rFonts w:ascii="宋体" w:hAnsi="宋体"/>
      <w:sz w:val="24"/>
      <w:szCs w:val="24"/>
      <w:lang w:val="zh-CN"/>
    </w:rPr>
  </w:style>
  <w:style w:type="character" w:customStyle="1" w:styleId="130">
    <w:name w:val="无锡正文 Char"/>
    <w:link w:val="129"/>
    <w:qFormat/>
    <w:uiPriority w:val="0"/>
    <w:rPr>
      <w:rFonts w:ascii="宋体" w:hAnsi="宋体" w:eastAsia="宋体" w:cs="Times New Roman"/>
      <w:sz w:val="24"/>
      <w:szCs w:val="24"/>
      <w:lang w:val="zh-CN"/>
    </w:rPr>
  </w:style>
  <w:style w:type="paragraph" w:customStyle="1" w:styleId="131">
    <w:name w:val="Char Char Char Char Char Char Char Char Char Char Char Char Char1"/>
    <w:basedOn w:val="1"/>
    <w:qFormat/>
    <w:uiPriority w:val="99"/>
    <w:pPr>
      <w:spacing w:line="360" w:lineRule="auto"/>
      <w:ind w:firstLine="200" w:firstLineChars="200"/>
    </w:pPr>
    <w:rPr>
      <w:rFonts w:ascii="宋体" w:hAnsi="宋体" w:cs="宋体"/>
      <w:szCs w:val="24"/>
    </w:rPr>
  </w:style>
  <w:style w:type="paragraph" w:customStyle="1" w:styleId="132">
    <w:name w:val="Char51"/>
    <w:basedOn w:val="1"/>
    <w:qFormat/>
    <w:uiPriority w:val="99"/>
    <w:pPr>
      <w:spacing w:line="360" w:lineRule="auto"/>
      <w:ind w:firstLine="200" w:firstLineChars="200"/>
    </w:pPr>
    <w:rPr>
      <w:rFonts w:ascii="宋体" w:hAnsi="宋体" w:cs="宋体"/>
      <w:szCs w:val="24"/>
    </w:rPr>
  </w:style>
  <w:style w:type="paragraph" w:customStyle="1" w:styleId="133">
    <w:name w:val="Char Char Char Char Char Char Char Char Char Char1"/>
    <w:basedOn w:val="1"/>
    <w:qFormat/>
    <w:uiPriority w:val="99"/>
    <w:pPr>
      <w:spacing w:line="360" w:lineRule="auto"/>
      <w:ind w:firstLine="200" w:firstLineChars="200"/>
    </w:pPr>
    <w:rPr>
      <w:rFonts w:ascii="宋体" w:hAnsi="宋体" w:cs="宋体"/>
      <w:szCs w:val="24"/>
    </w:rPr>
  </w:style>
  <w:style w:type="paragraph" w:customStyle="1" w:styleId="134">
    <w:name w:val="Char Char Char Char1"/>
    <w:basedOn w:val="1"/>
    <w:qFormat/>
    <w:uiPriority w:val="99"/>
    <w:pPr>
      <w:spacing w:line="360" w:lineRule="auto"/>
      <w:ind w:firstLine="200" w:firstLineChars="200"/>
    </w:pPr>
    <w:rPr>
      <w:rFonts w:ascii="宋体" w:hAnsi="宋体" w:cs="宋体"/>
      <w:szCs w:val="24"/>
    </w:rPr>
  </w:style>
  <w:style w:type="character" w:customStyle="1" w:styleId="135">
    <w:name w:val="Char Char31"/>
    <w:qFormat/>
    <w:uiPriority w:val="0"/>
    <w:rPr>
      <w:rFonts w:eastAsia="宋体"/>
      <w:kern w:val="2"/>
      <w:sz w:val="18"/>
      <w:szCs w:val="18"/>
      <w:lang w:val="en-US" w:eastAsia="zh-CN" w:bidi="ar-SA"/>
    </w:rPr>
  </w:style>
  <w:style w:type="paragraph" w:customStyle="1" w:styleId="136">
    <w:name w:val="Char Char Char Char Char Char Char Char Char Char Char Char1 Char1"/>
    <w:basedOn w:val="1"/>
    <w:qFormat/>
    <w:uiPriority w:val="99"/>
    <w:pPr>
      <w:spacing w:line="360" w:lineRule="auto"/>
      <w:ind w:firstLine="200" w:firstLineChars="200"/>
    </w:pPr>
    <w:rPr>
      <w:rFonts w:ascii="宋体" w:hAnsi="宋体" w:cs="宋体"/>
      <w:szCs w:val="24"/>
    </w:rPr>
  </w:style>
  <w:style w:type="paragraph" w:customStyle="1" w:styleId="137">
    <w:name w:val="Char Char1 Char1"/>
    <w:basedOn w:val="1"/>
    <w:qFormat/>
    <w:uiPriority w:val="99"/>
    <w:pPr>
      <w:spacing w:line="360" w:lineRule="auto"/>
      <w:ind w:firstLine="200" w:firstLineChars="200"/>
    </w:pPr>
    <w:rPr>
      <w:rFonts w:ascii="宋体" w:hAnsi="宋体" w:cs="宋体"/>
      <w:szCs w:val="24"/>
    </w:rPr>
  </w:style>
  <w:style w:type="paragraph" w:customStyle="1" w:styleId="138">
    <w:name w:val="Char1"/>
    <w:basedOn w:val="1"/>
    <w:qFormat/>
    <w:uiPriority w:val="99"/>
    <w:pPr>
      <w:spacing w:line="360" w:lineRule="auto"/>
      <w:ind w:firstLine="200" w:firstLineChars="200"/>
    </w:pPr>
    <w:rPr>
      <w:rFonts w:ascii="宋体" w:hAnsi="宋体" w:cs="宋体"/>
      <w:szCs w:val="24"/>
    </w:rPr>
  </w:style>
  <w:style w:type="paragraph" w:customStyle="1" w:styleId="139">
    <w:name w:val="表注"/>
    <w:next w:val="1"/>
    <w:link w:val="140"/>
    <w:qFormat/>
    <w:uiPriority w:val="0"/>
    <w:pPr>
      <w:spacing w:line="300" w:lineRule="exact"/>
    </w:pPr>
    <w:rPr>
      <w:rFonts w:ascii="Times New Roman" w:hAnsi="Times New Roman" w:eastAsia="华文楷体" w:cs="Times New Roman"/>
      <w:sz w:val="18"/>
      <w:lang w:val="en-US" w:eastAsia="zh-CN" w:bidi="ar-SA"/>
    </w:rPr>
  </w:style>
  <w:style w:type="character" w:customStyle="1" w:styleId="140">
    <w:name w:val="表注 Char"/>
    <w:link w:val="139"/>
    <w:qFormat/>
    <w:uiPriority w:val="0"/>
    <w:rPr>
      <w:rFonts w:ascii="Times New Roman" w:hAnsi="Times New Roman" w:eastAsia="华文楷体" w:cs="Times New Roman"/>
      <w:kern w:val="0"/>
      <w:sz w:val="18"/>
      <w:szCs w:val="20"/>
    </w:rPr>
  </w:style>
  <w:style w:type="paragraph" w:styleId="141">
    <w:name w:val="No Spacing"/>
    <w:qFormat/>
    <w:uiPriority w:val="1"/>
    <w:pPr>
      <w:widowControl w:val="0"/>
      <w:ind w:firstLine="200" w:firstLineChars="200"/>
    </w:pPr>
    <w:rPr>
      <w:rFonts w:ascii="Times New Roman" w:hAnsi="Times New Roman" w:eastAsia="宋体" w:cs="Times New Roman"/>
      <w:kern w:val="2"/>
      <w:sz w:val="24"/>
      <w:szCs w:val="21"/>
      <w:lang w:val="en-US" w:eastAsia="zh-CN" w:bidi="ar-SA"/>
    </w:rPr>
  </w:style>
  <w:style w:type="paragraph" w:customStyle="1" w:styleId="142">
    <w:name w:val="正文1.1.1"/>
    <w:basedOn w:val="1"/>
    <w:next w:val="1"/>
    <w:qFormat/>
    <w:uiPriority w:val="99"/>
    <w:pPr>
      <w:autoSpaceDE w:val="0"/>
      <w:autoSpaceDN w:val="0"/>
      <w:adjustRightInd w:val="0"/>
      <w:spacing w:after="170" w:line="360" w:lineRule="atLeast"/>
      <w:ind w:left="1134" w:hanging="1134"/>
    </w:pPr>
    <w:rPr>
      <w:rFonts w:ascii="宋体-方正超大字符集" w:hAnsi="Times New Roman" w:eastAsia="宋体-方正超大字符集" w:cs="宋体-方正超大字符集"/>
      <w:kern w:val="0"/>
      <w:szCs w:val="24"/>
    </w:rPr>
  </w:style>
  <w:style w:type="paragraph" w:customStyle="1" w:styleId="143">
    <w:name w:val="样式 小四 左 行距: 1.5 倍行距"/>
    <w:basedOn w:val="1"/>
    <w:qFormat/>
    <w:uiPriority w:val="99"/>
    <w:pPr>
      <w:spacing w:line="360" w:lineRule="auto"/>
      <w:ind w:left="514" w:leftChars="514"/>
      <w:jc w:val="left"/>
    </w:pPr>
    <w:rPr>
      <w:rFonts w:ascii="Times New Roman" w:hAnsi="Times New Roman" w:cs="宋体"/>
      <w:sz w:val="24"/>
      <w:szCs w:val="20"/>
    </w:rPr>
  </w:style>
  <w:style w:type="table" w:customStyle="1" w:styleId="144">
    <w:name w:val="网格型1"/>
    <w:basedOn w:val="3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5">
    <w:name w:val="未处理的提及1"/>
    <w:basedOn w:val="41"/>
    <w:semiHidden/>
    <w:unhideWhenUsed/>
    <w:qFormat/>
    <w:uiPriority w:val="99"/>
    <w:rPr>
      <w:color w:val="605E5C"/>
      <w:shd w:val="clear" w:color="auto" w:fill="E1DFDD"/>
    </w:rPr>
  </w:style>
  <w:style w:type="paragraph" w:customStyle="1" w:styleId="146">
    <w:name w:val="xl86"/>
    <w:basedOn w:val="1"/>
    <w:qFormat/>
    <w:uiPriority w:val="99"/>
    <w:pPr>
      <w:widowControl/>
      <w:spacing w:before="100" w:beforeAutospacing="1" w:after="100" w:afterAutospacing="1"/>
      <w:jc w:val="center"/>
    </w:pPr>
    <w:rPr>
      <w:rFonts w:ascii="宋体" w:hAnsi="宋体" w:cs="宋体"/>
      <w:kern w:val="0"/>
      <w:sz w:val="24"/>
      <w:szCs w:val="24"/>
    </w:rPr>
  </w:style>
  <w:style w:type="paragraph" w:customStyle="1" w:styleId="147">
    <w:name w:val="xl8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148">
    <w:name w:val="xl8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149">
    <w:name w:val="xl89"/>
    <w:basedOn w:val="1"/>
    <w:qFormat/>
    <w:uiPriority w:val="99"/>
    <w:pPr>
      <w:widowControl/>
      <w:spacing w:before="100" w:beforeAutospacing="1" w:after="100" w:afterAutospacing="1"/>
      <w:jc w:val="center"/>
    </w:pPr>
    <w:rPr>
      <w:rFonts w:ascii="宋体" w:hAnsi="宋体" w:cs="宋体"/>
      <w:kern w:val="0"/>
      <w:sz w:val="24"/>
      <w:szCs w:val="24"/>
    </w:rPr>
  </w:style>
  <w:style w:type="paragraph" w:customStyle="1" w:styleId="150">
    <w:name w:val="xl90"/>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151">
    <w:name w:val="xl91"/>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152">
    <w:name w:val="xl9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153">
    <w:name w:val="xl9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szCs w:val="24"/>
    </w:rPr>
  </w:style>
  <w:style w:type="paragraph" w:customStyle="1" w:styleId="154">
    <w:name w:val="xl94"/>
    <w:basedOn w:val="1"/>
    <w:qFormat/>
    <w:uiPriority w:val="99"/>
    <w:pPr>
      <w:widowControl/>
      <w:spacing w:before="100" w:beforeAutospacing="1" w:after="100" w:afterAutospacing="1"/>
      <w:jc w:val="center"/>
    </w:pPr>
    <w:rPr>
      <w:rFonts w:ascii="宋体" w:hAnsi="宋体" w:cs="宋体"/>
      <w:kern w:val="0"/>
      <w:sz w:val="24"/>
      <w:szCs w:val="24"/>
    </w:rPr>
  </w:style>
  <w:style w:type="paragraph" w:customStyle="1" w:styleId="155">
    <w:name w:val="xl9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szCs w:val="24"/>
    </w:rPr>
  </w:style>
  <w:style w:type="paragraph" w:customStyle="1" w:styleId="156">
    <w:name w:val="xl96"/>
    <w:basedOn w:val="1"/>
    <w:qFormat/>
    <w:uiPriority w:val="99"/>
    <w:pPr>
      <w:widowControl/>
      <w:pBdr>
        <w:bottom w:val="single" w:color="auto" w:sz="8" w:space="0"/>
        <w:right w:val="single" w:color="auto" w:sz="8" w:space="0"/>
      </w:pBdr>
      <w:shd w:val="clear" w:color="000000" w:fill="FFFFFF"/>
      <w:spacing w:before="100" w:beforeAutospacing="1" w:after="100" w:afterAutospacing="1"/>
      <w:jc w:val="center"/>
    </w:pPr>
    <w:rPr>
      <w:rFonts w:ascii="宋体" w:hAnsi="宋体" w:cs="宋体"/>
      <w:kern w:val="0"/>
      <w:sz w:val="24"/>
      <w:szCs w:val="24"/>
    </w:rPr>
  </w:style>
  <w:style w:type="paragraph" w:customStyle="1" w:styleId="157">
    <w:name w:val="xl9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158">
    <w:name w:val="xl98"/>
    <w:basedOn w:val="1"/>
    <w:qFormat/>
    <w:uiPriority w:val="99"/>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24"/>
      <w:szCs w:val="24"/>
    </w:rPr>
  </w:style>
  <w:style w:type="paragraph" w:customStyle="1" w:styleId="159">
    <w:name w:val="font0"/>
    <w:basedOn w:val="1"/>
    <w:qFormat/>
    <w:uiPriority w:val="99"/>
    <w:pPr>
      <w:widowControl/>
      <w:spacing w:before="100" w:beforeAutospacing="1" w:after="100" w:afterAutospacing="1"/>
      <w:jc w:val="left"/>
    </w:pPr>
    <w:rPr>
      <w:rFonts w:ascii="宋体" w:hAnsi="宋体" w:cs="宋体"/>
      <w:color w:val="000000"/>
      <w:kern w:val="0"/>
      <w:sz w:val="22"/>
    </w:rPr>
  </w:style>
  <w:style w:type="paragraph" w:customStyle="1" w:styleId="160">
    <w:name w:val="font7"/>
    <w:basedOn w:val="1"/>
    <w:qFormat/>
    <w:uiPriority w:val="99"/>
    <w:pPr>
      <w:widowControl/>
      <w:spacing w:before="100" w:beforeAutospacing="1" w:after="100" w:afterAutospacing="1"/>
      <w:jc w:val="left"/>
    </w:pPr>
    <w:rPr>
      <w:rFonts w:ascii="宋体" w:hAnsi="宋体" w:cs="宋体"/>
      <w:color w:val="000000"/>
      <w:kern w:val="0"/>
      <w:sz w:val="22"/>
    </w:rPr>
  </w:style>
  <w:style w:type="paragraph" w:customStyle="1" w:styleId="161">
    <w:name w:val="font8"/>
    <w:basedOn w:val="1"/>
    <w:qFormat/>
    <w:uiPriority w:val="99"/>
    <w:pPr>
      <w:widowControl/>
      <w:spacing w:before="100" w:beforeAutospacing="1" w:after="100" w:afterAutospacing="1"/>
      <w:jc w:val="left"/>
    </w:pPr>
    <w:rPr>
      <w:rFonts w:ascii="宋体" w:hAnsi="宋体" w:cs="宋体"/>
      <w:color w:val="000000"/>
      <w:kern w:val="0"/>
      <w:sz w:val="24"/>
      <w:szCs w:val="24"/>
    </w:rPr>
  </w:style>
  <w:style w:type="paragraph" w:customStyle="1" w:styleId="162">
    <w:name w:val="font9"/>
    <w:basedOn w:val="1"/>
    <w:qFormat/>
    <w:uiPriority w:val="99"/>
    <w:pPr>
      <w:widowControl/>
      <w:spacing w:before="100" w:beforeAutospacing="1" w:after="100" w:afterAutospacing="1"/>
      <w:jc w:val="left"/>
    </w:pPr>
    <w:rPr>
      <w:rFonts w:ascii="Times New Roman" w:hAnsi="Times New Roman"/>
      <w:color w:val="000000"/>
      <w:kern w:val="0"/>
      <w:sz w:val="22"/>
    </w:rPr>
  </w:style>
  <w:style w:type="paragraph" w:customStyle="1" w:styleId="163">
    <w:name w:val="font10"/>
    <w:basedOn w:val="1"/>
    <w:qFormat/>
    <w:uiPriority w:val="99"/>
    <w:pPr>
      <w:widowControl/>
      <w:spacing w:before="100" w:beforeAutospacing="1" w:after="100" w:afterAutospacing="1"/>
      <w:jc w:val="left"/>
    </w:pPr>
    <w:rPr>
      <w:rFonts w:ascii="宋体" w:hAnsi="宋体" w:cs="宋体"/>
      <w:kern w:val="0"/>
      <w:sz w:val="22"/>
    </w:rPr>
  </w:style>
  <w:style w:type="paragraph" w:customStyle="1" w:styleId="164">
    <w:name w:val="font11"/>
    <w:basedOn w:val="1"/>
    <w:qFormat/>
    <w:uiPriority w:val="99"/>
    <w:pPr>
      <w:widowControl/>
      <w:spacing w:before="100" w:beforeAutospacing="1" w:after="100" w:afterAutospacing="1"/>
      <w:jc w:val="left"/>
    </w:pPr>
    <w:rPr>
      <w:rFonts w:ascii="Times New Roman" w:hAnsi="Times New Roman"/>
      <w:kern w:val="0"/>
      <w:sz w:val="22"/>
    </w:rPr>
  </w:style>
  <w:style w:type="paragraph" w:customStyle="1" w:styleId="165">
    <w:name w:val="font12"/>
    <w:basedOn w:val="1"/>
    <w:qFormat/>
    <w:uiPriority w:val="99"/>
    <w:pPr>
      <w:widowControl/>
      <w:spacing w:before="100" w:beforeAutospacing="1" w:after="100" w:afterAutospacing="1"/>
      <w:jc w:val="left"/>
    </w:pPr>
    <w:rPr>
      <w:rFonts w:ascii="宋体" w:hAnsi="宋体" w:cs="宋体"/>
      <w:color w:val="000000"/>
      <w:kern w:val="0"/>
      <w:sz w:val="22"/>
    </w:rPr>
  </w:style>
  <w:style w:type="paragraph" w:customStyle="1" w:styleId="166">
    <w:name w:val="font13"/>
    <w:basedOn w:val="1"/>
    <w:qFormat/>
    <w:uiPriority w:val="99"/>
    <w:pPr>
      <w:widowControl/>
      <w:spacing w:before="100" w:beforeAutospacing="1" w:after="100" w:afterAutospacing="1"/>
      <w:jc w:val="left"/>
    </w:pPr>
    <w:rPr>
      <w:rFonts w:ascii="Times New Roman" w:hAnsi="Times New Roman"/>
      <w:color w:val="000000"/>
      <w:kern w:val="0"/>
      <w:sz w:val="22"/>
    </w:rPr>
  </w:style>
  <w:style w:type="paragraph" w:customStyle="1" w:styleId="167">
    <w:name w:val="修订1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68">
    <w:name w:val="默认段落字体 Para Char Char Char Char"/>
    <w:basedOn w:val="1"/>
    <w:semiHidden/>
    <w:qFormat/>
    <w:uiPriority w:val="99"/>
    <w:pPr>
      <w:snapToGrid w:val="0"/>
      <w:spacing w:line="360" w:lineRule="auto"/>
      <w:ind w:firstLine="200" w:firstLineChars="200"/>
    </w:pPr>
    <w:rPr>
      <w:rFonts w:ascii="Times New Roman" w:hAnsi="Times New Roman" w:eastAsia="仿宋_GB2312"/>
      <w:szCs w:val="24"/>
    </w:rPr>
  </w:style>
  <w:style w:type="paragraph" w:customStyle="1" w:styleId="169">
    <w:name w:val="TOC 标题3"/>
    <w:basedOn w:val="2"/>
    <w:next w:val="1"/>
    <w:unhideWhenUsed/>
    <w:qFormat/>
    <w:uiPriority w:val="39"/>
    <w:pPr>
      <w:widowControl/>
      <w:snapToGrid w:val="0"/>
      <w:spacing w:before="240" w:after="0" w:line="259" w:lineRule="auto"/>
      <w:ind w:left="420" w:hanging="420"/>
      <w:jc w:val="left"/>
      <w:outlineLvl w:val="9"/>
    </w:pPr>
    <w:rPr>
      <w:rFonts w:ascii="Calibri Light" w:hAnsi="Calibri Light"/>
      <w:b w:val="0"/>
      <w:bCs w:val="0"/>
      <w:color w:val="2E74B5"/>
      <w:kern w:val="0"/>
      <w:sz w:val="28"/>
      <w:szCs w:val="28"/>
      <w:lang w:val="zh-CN"/>
    </w:rPr>
  </w:style>
  <w:style w:type="paragraph" w:customStyle="1" w:styleId="170">
    <w:name w:val="修订3"/>
    <w:hidden/>
    <w:semiHidden/>
    <w:qFormat/>
    <w:uiPriority w:val="99"/>
    <w:rPr>
      <w:rFonts w:ascii="Times New Roman" w:hAnsi="Times New Roman" w:eastAsia="宋体" w:cs="Times New Roman"/>
      <w:kern w:val="2"/>
      <w:sz w:val="24"/>
      <w:szCs w:val="24"/>
      <w:lang w:val="en-US" w:eastAsia="zh-CN" w:bidi="ar-SA"/>
    </w:rPr>
  </w:style>
  <w:style w:type="table" w:customStyle="1" w:styleId="171">
    <w:name w:val="清单表 1 浅色2"/>
    <w:basedOn w:val="38"/>
    <w:qFormat/>
    <w:uiPriority w:val="46"/>
    <w:tblPr>
      <w:tblCellMar>
        <w:top w:w="0" w:type="dxa"/>
        <w:left w:w="108" w:type="dxa"/>
        <w:bottom w:w="0" w:type="dxa"/>
        <w:right w:w="108" w:type="dxa"/>
      </w:tblCellMar>
    </w:tblPr>
    <w:tblStylePr w:type="firstRow">
      <w:rPr>
        <w:b/>
        <w:bCs/>
      </w:rPr>
      <w:tcPr>
        <w:tcBorders>
          <w:bottom w:val="single" w:color="666666" w:sz="4" w:space="0"/>
        </w:tcBorders>
      </w:tcPr>
    </w:tblStylePr>
    <w:tblStylePr w:type="lastRow">
      <w:rPr>
        <w:b/>
        <w:bCs/>
      </w:rPr>
      <w:tcPr>
        <w:tcBorders>
          <w:top w:val="single" w:color="666666" w:sz="4" w:space="0"/>
        </w:tcBorders>
      </w:tcPr>
    </w:tblStylePr>
    <w:tblStylePr w:type="firstCol">
      <w:rPr>
        <w:b/>
        <w:bCs/>
      </w:rPr>
    </w:tblStylePr>
    <w:tblStylePr w:type="lastCol">
      <w:rPr>
        <w:b/>
        <w:bCs/>
      </w:rPr>
    </w:tblStylePr>
    <w:tblStylePr w:type="band1Vert">
      <w:tcPr>
        <w:shd w:val="clear" w:color="auto" w:fill="CCCCCC"/>
      </w:tcPr>
    </w:tblStylePr>
    <w:tblStylePr w:type="band1Horz">
      <w:tcPr>
        <w:shd w:val="clear" w:color="auto" w:fill="CCCCCC"/>
      </w:tcPr>
    </w:tblStylePr>
  </w:style>
  <w:style w:type="character" w:customStyle="1" w:styleId="172">
    <w:name w:val="标题 2 Char1"/>
    <w:semiHidden/>
    <w:qFormat/>
    <w:uiPriority w:val="0"/>
    <w:rPr>
      <w:rFonts w:ascii="Cambria" w:hAnsi="Cambria" w:eastAsia="宋体" w:cs="Times New Roman"/>
      <w:b/>
      <w:bCs/>
      <w:kern w:val="2"/>
      <w:sz w:val="32"/>
      <w:szCs w:val="32"/>
    </w:rPr>
  </w:style>
  <w:style w:type="character" w:customStyle="1" w:styleId="173">
    <w:name w:val="标题 3 Char1"/>
    <w:semiHidden/>
    <w:qFormat/>
    <w:uiPriority w:val="0"/>
    <w:rPr>
      <w:b/>
      <w:bCs/>
      <w:kern w:val="2"/>
      <w:sz w:val="32"/>
      <w:szCs w:val="32"/>
    </w:rPr>
  </w:style>
  <w:style w:type="character" w:customStyle="1" w:styleId="174">
    <w:name w:val="标题 4 Char1"/>
    <w:semiHidden/>
    <w:qFormat/>
    <w:uiPriority w:val="9"/>
    <w:rPr>
      <w:rFonts w:ascii="Cambria" w:hAnsi="Cambria" w:eastAsia="宋体" w:cs="Times New Roman"/>
      <w:b/>
      <w:bCs/>
      <w:kern w:val="2"/>
      <w:sz w:val="28"/>
      <w:szCs w:val="28"/>
    </w:rPr>
  </w:style>
  <w:style w:type="character" w:customStyle="1" w:styleId="175">
    <w:name w:val="标题 5 Char1"/>
    <w:semiHidden/>
    <w:qFormat/>
    <w:uiPriority w:val="9"/>
    <w:rPr>
      <w:b/>
      <w:bCs/>
      <w:kern w:val="2"/>
      <w:sz w:val="28"/>
      <w:szCs w:val="28"/>
    </w:rPr>
  </w:style>
  <w:style w:type="character" w:customStyle="1" w:styleId="176">
    <w:name w:val="标题 6 Char1"/>
    <w:semiHidden/>
    <w:qFormat/>
    <w:uiPriority w:val="9"/>
    <w:rPr>
      <w:rFonts w:ascii="Cambria" w:hAnsi="Cambria" w:eastAsia="宋体" w:cs="Times New Roman"/>
      <w:b/>
      <w:bCs/>
      <w:kern w:val="2"/>
      <w:sz w:val="24"/>
      <w:szCs w:val="24"/>
    </w:rPr>
  </w:style>
  <w:style w:type="character" w:customStyle="1" w:styleId="177">
    <w:name w:val="标题 7 Char1"/>
    <w:semiHidden/>
    <w:qFormat/>
    <w:uiPriority w:val="9"/>
    <w:rPr>
      <w:b/>
      <w:bCs/>
      <w:kern w:val="2"/>
      <w:sz w:val="24"/>
      <w:szCs w:val="24"/>
    </w:rPr>
  </w:style>
  <w:style w:type="character" w:customStyle="1" w:styleId="178">
    <w:name w:val="标题 8 Char1"/>
    <w:semiHidden/>
    <w:qFormat/>
    <w:uiPriority w:val="9"/>
    <w:rPr>
      <w:rFonts w:ascii="Cambria" w:hAnsi="Cambria" w:eastAsia="宋体" w:cs="Times New Roman"/>
      <w:kern w:val="2"/>
      <w:sz w:val="24"/>
      <w:szCs w:val="24"/>
    </w:rPr>
  </w:style>
  <w:style w:type="character" w:customStyle="1" w:styleId="179">
    <w:name w:val="标题 9 Char1"/>
    <w:semiHidden/>
    <w:qFormat/>
    <w:uiPriority w:val="9"/>
    <w:rPr>
      <w:rFonts w:ascii="Cambria" w:hAnsi="Cambria" w:eastAsia="宋体" w:cs="Times New Roman"/>
      <w:kern w:val="2"/>
      <w:sz w:val="21"/>
      <w:szCs w:val="21"/>
    </w:rPr>
  </w:style>
  <w:style w:type="paragraph" w:customStyle="1" w:styleId="180">
    <w:name w:val="修订4"/>
    <w:semiHidden/>
    <w:qFormat/>
    <w:uiPriority w:val="99"/>
    <w:rPr>
      <w:rFonts w:ascii="Times New Roman" w:hAnsi="Times New Roman" w:eastAsia="宋体" w:cs="Times New Roman"/>
      <w:kern w:val="2"/>
      <w:sz w:val="24"/>
      <w:szCs w:val="24"/>
      <w:lang w:val="en-US" w:eastAsia="zh-CN" w:bidi="ar-SA"/>
    </w:rPr>
  </w:style>
  <w:style w:type="paragraph" w:customStyle="1" w:styleId="181">
    <w:name w:val="TOC 标题4"/>
    <w:basedOn w:val="2"/>
    <w:next w:val="1"/>
    <w:qFormat/>
    <w:uiPriority w:val="39"/>
    <w:pPr>
      <w:widowControl/>
      <w:snapToGrid w:val="0"/>
      <w:spacing w:before="240" w:after="0" w:line="259" w:lineRule="auto"/>
      <w:ind w:left="1648" w:hanging="1080"/>
      <w:jc w:val="left"/>
      <w:outlineLvl w:val="9"/>
    </w:pPr>
    <w:rPr>
      <w:rFonts w:ascii="Calibri Light" w:hAnsi="Calibri Light"/>
      <w:b w:val="0"/>
      <w:bCs w:val="0"/>
      <w:color w:val="2E74B5"/>
      <w:kern w:val="0"/>
      <w:sz w:val="28"/>
      <w:szCs w:val="28"/>
    </w:rPr>
  </w:style>
  <w:style w:type="table" w:customStyle="1" w:styleId="182">
    <w:name w:val="清单表 1 浅色21"/>
    <w:basedOn w:val="38"/>
    <w:qFormat/>
    <w:uiPriority w:val="46"/>
    <w:tblPr>
      <w:tblCellMar>
        <w:top w:w="0" w:type="dxa"/>
        <w:left w:w="108" w:type="dxa"/>
        <w:bottom w:w="0" w:type="dxa"/>
        <w:right w:w="108" w:type="dxa"/>
      </w:tblCellMar>
    </w:tblPr>
    <w:tblStylePr w:type="firstRow">
      <w:rPr>
        <w:b/>
        <w:bCs/>
      </w:rPr>
      <w:tcPr>
        <w:tcBorders>
          <w:top w:val="nil"/>
          <w:left w:val="nil"/>
          <w:bottom w:val="single" w:color="666666" w:sz="4" w:space="0"/>
          <w:right w:val="nil"/>
          <w:insideH w:val="nil"/>
          <w:insideV w:val="nil"/>
          <w:tl2br w:val="nil"/>
          <w:tr2bl w:val="nil"/>
        </w:tcBorders>
      </w:tcPr>
    </w:tblStylePr>
    <w:tblStylePr w:type="lastRow">
      <w:rPr>
        <w:b/>
        <w:bCs/>
      </w:rPr>
      <w:tcPr>
        <w:tcBorders>
          <w:top w:val="single" w:color="666666"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CCCCCC"/>
      </w:tcPr>
    </w:tblStylePr>
    <w:tblStylePr w:type="band1Horz">
      <w:tcPr>
        <w:shd w:val="clear" w:color="auto" w:fill="CCCCCC"/>
      </w:tcPr>
    </w:tblStylePr>
  </w:style>
  <w:style w:type="table" w:customStyle="1" w:styleId="183">
    <w:name w:val="网格型3"/>
    <w:basedOn w:val="3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4">
    <w:name w:val="xl65"/>
    <w:basedOn w:val="1"/>
    <w:qFormat/>
    <w:uiPriority w:val="99"/>
    <w:pPr>
      <w:widowControl/>
      <w:pBdr>
        <w:top w:val="single" w:color="auto" w:sz="8" w:space="0"/>
        <w:right w:val="single" w:color="auto" w:sz="8" w:space="0"/>
      </w:pBdr>
      <w:spacing w:before="100" w:beforeAutospacing="1" w:after="100" w:afterAutospacing="1"/>
      <w:jc w:val="center"/>
    </w:pPr>
    <w:rPr>
      <w:rFonts w:ascii="仿宋_GB2312" w:hAnsi="宋体" w:eastAsia="仿宋_GB2312" w:cs="宋体"/>
      <w:b/>
      <w:bCs/>
      <w:kern w:val="0"/>
    </w:rPr>
  </w:style>
  <w:style w:type="paragraph" w:customStyle="1" w:styleId="185">
    <w:name w:val="xl66"/>
    <w:basedOn w:val="1"/>
    <w:qFormat/>
    <w:uiPriority w:val="99"/>
    <w:pPr>
      <w:widowControl/>
      <w:pBdr>
        <w:bottom w:val="single" w:color="auto" w:sz="8" w:space="0"/>
        <w:right w:val="single" w:color="auto" w:sz="8" w:space="0"/>
      </w:pBdr>
      <w:spacing w:before="100" w:beforeAutospacing="1" w:after="100" w:afterAutospacing="1"/>
      <w:jc w:val="center"/>
    </w:pPr>
    <w:rPr>
      <w:rFonts w:ascii="仿宋_GB2312" w:hAnsi="宋体" w:eastAsia="仿宋_GB2312" w:cs="宋体"/>
      <w:b/>
      <w:bCs/>
      <w:kern w:val="0"/>
    </w:rPr>
  </w:style>
  <w:style w:type="paragraph" w:customStyle="1" w:styleId="186">
    <w:name w:val="xl67"/>
    <w:basedOn w:val="1"/>
    <w:qFormat/>
    <w:uiPriority w:val="99"/>
    <w:pPr>
      <w:widowControl/>
      <w:pBdr>
        <w:left w:val="single" w:color="auto" w:sz="8" w:space="0"/>
        <w:bottom w:val="single" w:color="auto" w:sz="8" w:space="0"/>
        <w:right w:val="single" w:color="auto" w:sz="8" w:space="0"/>
      </w:pBdr>
      <w:spacing w:before="100" w:beforeAutospacing="1" w:after="100" w:afterAutospacing="1"/>
    </w:pPr>
    <w:rPr>
      <w:rFonts w:ascii="Times New Roman" w:hAnsi="Times New Roman"/>
      <w:kern w:val="0"/>
    </w:rPr>
  </w:style>
  <w:style w:type="paragraph" w:customStyle="1" w:styleId="187">
    <w:name w:val="xl68"/>
    <w:basedOn w:val="1"/>
    <w:qFormat/>
    <w:uiPriority w:val="99"/>
    <w:pPr>
      <w:widowControl/>
      <w:pBdr>
        <w:bottom w:val="single" w:color="auto" w:sz="8" w:space="0"/>
        <w:right w:val="single" w:color="auto" w:sz="8" w:space="0"/>
      </w:pBdr>
      <w:spacing w:before="100" w:beforeAutospacing="1" w:after="100" w:afterAutospacing="1"/>
      <w:jc w:val="center"/>
    </w:pPr>
    <w:rPr>
      <w:rFonts w:ascii="仿宋_GB2312" w:hAnsi="宋体" w:eastAsia="仿宋_GB2312" w:cs="宋体"/>
      <w:kern w:val="0"/>
    </w:rPr>
  </w:style>
  <w:style w:type="paragraph" w:customStyle="1" w:styleId="188">
    <w:name w:val="xl69"/>
    <w:basedOn w:val="1"/>
    <w:qFormat/>
    <w:uiPriority w:val="99"/>
    <w:pPr>
      <w:widowControl/>
      <w:pBdr>
        <w:bottom w:val="single" w:color="auto" w:sz="8" w:space="0"/>
        <w:right w:val="single" w:color="auto" w:sz="8" w:space="0"/>
      </w:pBdr>
      <w:spacing w:before="100" w:beforeAutospacing="1" w:after="100" w:afterAutospacing="1"/>
    </w:pPr>
    <w:rPr>
      <w:rFonts w:ascii="仿宋_GB2312" w:hAnsi="宋体" w:eastAsia="仿宋_GB2312" w:cs="宋体"/>
      <w:kern w:val="0"/>
    </w:rPr>
  </w:style>
  <w:style w:type="paragraph" w:customStyle="1" w:styleId="189">
    <w:name w:val="xl70"/>
    <w:basedOn w:val="1"/>
    <w:qFormat/>
    <w:uiPriority w:val="99"/>
    <w:pPr>
      <w:widowControl/>
      <w:pBdr>
        <w:bottom w:val="single" w:color="auto" w:sz="8" w:space="0"/>
        <w:right w:val="single" w:color="auto" w:sz="8" w:space="0"/>
      </w:pBdr>
      <w:spacing w:before="100" w:beforeAutospacing="1" w:after="100" w:afterAutospacing="1"/>
      <w:jc w:val="left"/>
    </w:pPr>
    <w:rPr>
      <w:rFonts w:ascii="Times New Roman" w:hAnsi="Times New Roman"/>
      <w:kern w:val="0"/>
    </w:rPr>
  </w:style>
  <w:style w:type="paragraph" w:customStyle="1" w:styleId="190">
    <w:name w:val="xl71"/>
    <w:basedOn w:val="1"/>
    <w:qFormat/>
    <w:uiPriority w:val="99"/>
    <w:pPr>
      <w:widowControl/>
      <w:pBdr>
        <w:bottom w:val="single" w:color="auto" w:sz="8" w:space="0"/>
        <w:right w:val="single" w:color="auto" w:sz="8" w:space="0"/>
      </w:pBdr>
      <w:spacing w:before="100" w:beforeAutospacing="1" w:after="100" w:afterAutospacing="1"/>
      <w:jc w:val="center"/>
    </w:pPr>
    <w:rPr>
      <w:rFonts w:ascii="Times New Roman" w:hAnsi="Times New Roman"/>
      <w:kern w:val="0"/>
    </w:rPr>
  </w:style>
  <w:style w:type="paragraph" w:customStyle="1" w:styleId="191">
    <w:name w:val="xl72"/>
    <w:basedOn w:val="1"/>
    <w:qFormat/>
    <w:uiPriority w:val="99"/>
    <w:pPr>
      <w:widowControl/>
      <w:pBdr>
        <w:left w:val="single" w:color="auto" w:sz="8" w:space="0"/>
        <w:bottom w:val="single" w:color="auto" w:sz="8" w:space="0"/>
        <w:right w:val="single" w:color="auto" w:sz="8" w:space="0"/>
      </w:pBdr>
      <w:spacing w:before="100" w:beforeAutospacing="1" w:after="100" w:afterAutospacing="1"/>
      <w:jc w:val="center"/>
    </w:pPr>
    <w:rPr>
      <w:rFonts w:ascii="Times New Roman" w:hAnsi="Times New Roman"/>
      <w:kern w:val="0"/>
    </w:rPr>
  </w:style>
  <w:style w:type="paragraph" w:customStyle="1" w:styleId="192">
    <w:name w:val="xl73"/>
    <w:basedOn w:val="1"/>
    <w:qFormat/>
    <w:uiPriority w:val="99"/>
    <w:pPr>
      <w:widowControl/>
      <w:pBdr>
        <w:bottom w:val="single" w:color="auto" w:sz="8" w:space="0"/>
        <w:right w:val="single" w:color="auto" w:sz="8" w:space="0"/>
      </w:pBdr>
      <w:spacing w:before="100" w:beforeAutospacing="1" w:after="100" w:afterAutospacing="1"/>
      <w:jc w:val="left"/>
    </w:pPr>
    <w:rPr>
      <w:rFonts w:ascii="仿宋_GB2312" w:hAnsi="宋体" w:eastAsia="仿宋_GB2312" w:cs="宋体"/>
      <w:kern w:val="0"/>
    </w:rPr>
  </w:style>
  <w:style w:type="paragraph" w:customStyle="1" w:styleId="193">
    <w:name w:val="xl74"/>
    <w:basedOn w:val="1"/>
    <w:qFormat/>
    <w:uiPriority w:val="99"/>
    <w:pPr>
      <w:widowControl/>
      <w:pBdr>
        <w:bottom w:val="single" w:color="auto" w:sz="8" w:space="0"/>
        <w:right w:val="single" w:color="auto" w:sz="8" w:space="0"/>
      </w:pBdr>
      <w:spacing w:before="100" w:beforeAutospacing="1" w:after="100" w:afterAutospacing="1"/>
    </w:pPr>
    <w:rPr>
      <w:rFonts w:ascii="Times New Roman" w:hAnsi="Times New Roman"/>
      <w:kern w:val="0"/>
    </w:rPr>
  </w:style>
  <w:style w:type="paragraph" w:customStyle="1" w:styleId="194">
    <w:name w:val="xl75"/>
    <w:basedOn w:val="1"/>
    <w:qFormat/>
    <w:uiPriority w:val="99"/>
    <w:pPr>
      <w:widowControl/>
      <w:pBdr>
        <w:top w:val="single" w:color="auto" w:sz="8" w:space="0"/>
        <w:left w:val="single" w:color="auto" w:sz="8" w:space="0"/>
        <w:right w:val="single" w:color="auto" w:sz="8" w:space="0"/>
      </w:pBdr>
      <w:spacing w:before="100" w:beforeAutospacing="1" w:after="100" w:afterAutospacing="1"/>
      <w:jc w:val="center"/>
    </w:pPr>
    <w:rPr>
      <w:rFonts w:ascii="仿宋_GB2312" w:hAnsi="宋体" w:eastAsia="仿宋_GB2312" w:cs="宋体"/>
      <w:b/>
      <w:bCs/>
      <w:kern w:val="0"/>
    </w:rPr>
  </w:style>
  <w:style w:type="paragraph" w:customStyle="1" w:styleId="195">
    <w:name w:val="xl76"/>
    <w:basedOn w:val="1"/>
    <w:qFormat/>
    <w:uiPriority w:val="99"/>
    <w:pPr>
      <w:widowControl/>
      <w:pBdr>
        <w:left w:val="single" w:color="auto" w:sz="8" w:space="0"/>
        <w:bottom w:val="single" w:color="auto" w:sz="8" w:space="0"/>
        <w:right w:val="single" w:color="auto" w:sz="8" w:space="0"/>
      </w:pBdr>
      <w:spacing w:before="100" w:beforeAutospacing="1" w:after="100" w:afterAutospacing="1"/>
      <w:jc w:val="center"/>
    </w:pPr>
    <w:rPr>
      <w:rFonts w:ascii="仿宋_GB2312" w:hAnsi="宋体" w:eastAsia="仿宋_GB2312" w:cs="宋体"/>
      <w:b/>
      <w:bCs/>
      <w:kern w:val="0"/>
    </w:rPr>
  </w:style>
  <w:style w:type="paragraph" w:customStyle="1" w:styleId="196">
    <w:name w:val="xl77"/>
    <w:basedOn w:val="1"/>
    <w:qFormat/>
    <w:uiPriority w:val="99"/>
    <w:pPr>
      <w:widowControl/>
      <w:pBdr>
        <w:top w:val="single" w:color="auto" w:sz="8" w:space="0"/>
      </w:pBdr>
      <w:spacing w:before="100" w:beforeAutospacing="1" w:after="100" w:afterAutospacing="1"/>
      <w:jc w:val="center"/>
    </w:pPr>
    <w:rPr>
      <w:rFonts w:ascii="仿宋_GB2312" w:hAnsi="宋体" w:eastAsia="仿宋_GB2312" w:cs="宋体"/>
      <w:b/>
      <w:bCs/>
      <w:kern w:val="0"/>
    </w:rPr>
  </w:style>
  <w:style w:type="paragraph" w:customStyle="1" w:styleId="197">
    <w:name w:val="xl78"/>
    <w:basedOn w:val="1"/>
    <w:qFormat/>
    <w:uiPriority w:val="99"/>
    <w:pPr>
      <w:widowControl/>
      <w:pBdr>
        <w:top w:val="single" w:color="auto" w:sz="8" w:space="0"/>
        <w:left w:val="single" w:color="auto" w:sz="8" w:space="0"/>
      </w:pBdr>
      <w:spacing w:before="100" w:beforeAutospacing="1" w:after="100" w:afterAutospacing="1"/>
      <w:jc w:val="center"/>
    </w:pPr>
    <w:rPr>
      <w:rFonts w:ascii="仿宋_GB2312" w:hAnsi="宋体" w:eastAsia="仿宋_GB2312" w:cs="宋体"/>
      <w:b/>
      <w:bCs/>
      <w:kern w:val="0"/>
    </w:rPr>
  </w:style>
  <w:style w:type="paragraph" w:customStyle="1" w:styleId="198">
    <w:name w:val="xl79"/>
    <w:basedOn w:val="1"/>
    <w:qFormat/>
    <w:uiPriority w:val="99"/>
    <w:pPr>
      <w:widowControl/>
      <w:pBdr>
        <w:left w:val="single" w:color="auto" w:sz="8" w:space="0"/>
        <w:bottom w:val="single" w:color="auto" w:sz="8" w:space="0"/>
      </w:pBdr>
      <w:spacing w:before="100" w:beforeAutospacing="1" w:after="100" w:afterAutospacing="1"/>
      <w:jc w:val="center"/>
    </w:pPr>
    <w:rPr>
      <w:rFonts w:ascii="仿宋_GB2312" w:hAnsi="宋体" w:eastAsia="仿宋_GB2312" w:cs="宋体"/>
      <w:b/>
      <w:bCs/>
      <w:kern w:val="0"/>
    </w:rPr>
  </w:style>
  <w:style w:type="paragraph" w:customStyle="1" w:styleId="199">
    <w:name w:val="xl80"/>
    <w:basedOn w:val="1"/>
    <w:qFormat/>
    <w:uiPriority w:val="99"/>
    <w:pPr>
      <w:widowControl/>
      <w:pBdr>
        <w:bottom w:val="single" w:color="auto" w:sz="8" w:space="0"/>
      </w:pBdr>
      <w:spacing w:before="100" w:beforeAutospacing="1" w:after="100" w:afterAutospacing="1"/>
      <w:jc w:val="center"/>
    </w:pPr>
    <w:rPr>
      <w:rFonts w:ascii="仿宋_GB2312" w:hAnsi="宋体" w:eastAsia="仿宋_GB2312" w:cs="宋体"/>
      <w:b/>
      <w:bCs/>
      <w:kern w:val="0"/>
    </w:rPr>
  </w:style>
  <w:style w:type="paragraph" w:customStyle="1" w:styleId="200">
    <w:name w:val="xl81"/>
    <w:basedOn w:val="1"/>
    <w:qFormat/>
    <w:uiPriority w:val="99"/>
    <w:pPr>
      <w:widowControl/>
      <w:pBdr>
        <w:top w:val="single" w:color="auto" w:sz="8" w:space="0"/>
        <w:left w:val="single" w:color="auto" w:sz="8" w:space="0"/>
        <w:bottom w:val="single" w:color="auto" w:sz="8" w:space="0"/>
      </w:pBdr>
      <w:spacing w:before="100" w:beforeAutospacing="1" w:after="100" w:afterAutospacing="1"/>
    </w:pPr>
    <w:rPr>
      <w:rFonts w:ascii="仿宋_GB2312" w:hAnsi="宋体" w:eastAsia="仿宋_GB2312" w:cs="宋体"/>
      <w:kern w:val="0"/>
    </w:rPr>
  </w:style>
  <w:style w:type="paragraph" w:customStyle="1" w:styleId="201">
    <w:name w:val="xl82"/>
    <w:basedOn w:val="1"/>
    <w:qFormat/>
    <w:uiPriority w:val="99"/>
    <w:pPr>
      <w:widowControl/>
      <w:pBdr>
        <w:top w:val="single" w:color="auto" w:sz="8" w:space="0"/>
        <w:bottom w:val="single" w:color="auto" w:sz="8" w:space="0"/>
      </w:pBdr>
      <w:spacing w:before="100" w:beforeAutospacing="1" w:after="100" w:afterAutospacing="1"/>
    </w:pPr>
    <w:rPr>
      <w:rFonts w:ascii="仿宋_GB2312" w:hAnsi="宋体" w:eastAsia="仿宋_GB2312" w:cs="宋体"/>
      <w:kern w:val="0"/>
    </w:rPr>
  </w:style>
  <w:style w:type="paragraph" w:customStyle="1" w:styleId="202">
    <w:name w:val="xl83"/>
    <w:basedOn w:val="1"/>
    <w:qFormat/>
    <w:uiPriority w:val="99"/>
    <w:pPr>
      <w:widowControl/>
      <w:pBdr>
        <w:top w:val="single" w:color="auto" w:sz="8" w:space="0"/>
        <w:bottom w:val="single" w:color="auto" w:sz="8" w:space="0"/>
        <w:right w:val="single" w:color="auto" w:sz="8" w:space="0"/>
      </w:pBdr>
      <w:spacing w:before="100" w:beforeAutospacing="1" w:after="100" w:afterAutospacing="1"/>
    </w:pPr>
    <w:rPr>
      <w:rFonts w:ascii="仿宋_GB2312" w:hAnsi="宋体" w:eastAsia="仿宋_GB2312" w:cs="宋体"/>
      <w:kern w:val="0"/>
    </w:rPr>
  </w:style>
  <w:style w:type="paragraph" w:customStyle="1" w:styleId="203">
    <w:name w:val="xl84"/>
    <w:basedOn w:val="1"/>
    <w:qFormat/>
    <w:uiPriority w:val="99"/>
    <w:pPr>
      <w:widowControl/>
      <w:pBdr>
        <w:left w:val="single" w:color="auto" w:sz="8" w:space="0"/>
        <w:right w:val="single" w:color="auto" w:sz="8" w:space="0"/>
      </w:pBdr>
      <w:spacing w:before="100" w:beforeAutospacing="1" w:after="100" w:afterAutospacing="1"/>
    </w:pPr>
    <w:rPr>
      <w:rFonts w:ascii="Times New Roman" w:hAnsi="Times New Roman"/>
      <w:kern w:val="0"/>
    </w:rPr>
  </w:style>
  <w:style w:type="paragraph" w:customStyle="1" w:styleId="204">
    <w:name w:val="xl85"/>
    <w:basedOn w:val="1"/>
    <w:qFormat/>
    <w:uiPriority w:val="99"/>
    <w:pPr>
      <w:widowControl/>
      <w:pBdr>
        <w:top w:val="single" w:color="auto" w:sz="8" w:space="0"/>
        <w:left w:val="single" w:color="auto" w:sz="8" w:space="0"/>
        <w:right w:val="single" w:color="auto" w:sz="8" w:space="0"/>
      </w:pBdr>
      <w:spacing w:before="100" w:beforeAutospacing="1" w:after="100" w:afterAutospacing="1"/>
    </w:pPr>
    <w:rPr>
      <w:rFonts w:ascii="Times New Roman" w:hAnsi="Times New Roman"/>
      <w:kern w:val="0"/>
    </w:rPr>
  </w:style>
  <w:style w:type="character" w:customStyle="1" w:styleId="205">
    <w:name w:val="content-right_8zs40"/>
    <w:basedOn w:val="41"/>
    <w:qFormat/>
    <w:uiPriority w:val="0"/>
  </w:style>
  <w:style w:type="paragraph" w:customStyle="1" w:styleId="206">
    <w:name w:val="修订5"/>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07">
    <w:name w:val="font14"/>
    <w:basedOn w:val="1"/>
    <w:qFormat/>
    <w:uiPriority w:val="99"/>
    <w:pPr>
      <w:widowControl/>
      <w:spacing w:before="100" w:beforeAutospacing="1" w:after="100" w:afterAutospacing="1"/>
      <w:jc w:val="left"/>
    </w:pPr>
    <w:rPr>
      <w:rFonts w:ascii="宋体" w:hAnsi="宋体" w:cs="宋体"/>
      <w:color w:val="000000"/>
      <w:kern w:val="0"/>
    </w:rPr>
  </w:style>
  <w:style w:type="character" w:customStyle="1" w:styleId="208">
    <w:name w:val="font01"/>
    <w:basedOn w:val="41"/>
    <w:qFormat/>
    <w:uiPriority w:val="0"/>
    <w:rPr>
      <w:rFonts w:ascii="新宋体" w:hAnsi="新宋体" w:eastAsia="新宋体" w:cs="新宋体"/>
      <w:color w:val="000000"/>
      <w:sz w:val="21"/>
      <w:szCs w:val="21"/>
      <w:u w:val="none"/>
    </w:rPr>
  </w:style>
  <w:style w:type="character" w:customStyle="1" w:styleId="209">
    <w:name w:val="font41"/>
    <w:basedOn w:val="41"/>
    <w:qFormat/>
    <w:uiPriority w:val="0"/>
    <w:rPr>
      <w:rFonts w:hint="eastAsia" w:ascii="宋体" w:hAnsi="宋体" w:eastAsia="宋体" w:cs="宋体"/>
      <w:color w:val="000000"/>
      <w:sz w:val="20"/>
      <w:szCs w:val="20"/>
      <w:u w:val="none"/>
    </w:rPr>
  </w:style>
  <w:style w:type="character" w:customStyle="1" w:styleId="210">
    <w:name w:val="font51"/>
    <w:basedOn w:val="41"/>
    <w:qFormat/>
    <w:uiPriority w:val="0"/>
    <w:rPr>
      <w:rFonts w:hint="eastAsia" w:ascii="宋体" w:hAnsi="宋体" w:eastAsia="宋体" w:cs="宋体"/>
      <w:color w:val="000000"/>
      <w:sz w:val="20"/>
      <w:szCs w:val="20"/>
      <w:u w:val="none"/>
    </w:rPr>
  </w:style>
  <w:style w:type="character" w:customStyle="1" w:styleId="211">
    <w:name w:val="font31"/>
    <w:basedOn w:val="41"/>
    <w:qFormat/>
    <w:uiPriority w:val="0"/>
    <w:rPr>
      <w:rFonts w:hint="default" w:ascii="Times New Roman" w:hAnsi="Times New Roman" w:cs="Times New Roman"/>
      <w:color w:val="000000"/>
      <w:sz w:val="20"/>
      <w:szCs w:val="20"/>
      <w:u w:val="none"/>
    </w:rPr>
  </w:style>
  <w:style w:type="table" w:customStyle="1" w:styleId="212">
    <w:name w:val="网格型21"/>
    <w:basedOn w:val="3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3">
    <w:name w:val="修订6"/>
    <w:semiHidden/>
    <w:qFormat/>
    <w:uiPriority w:val="99"/>
    <w:rPr>
      <w:rFonts w:ascii="Times New Roman" w:hAnsi="Times New Roman" w:eastAsia="宋体" w:cs="Times New Roman"/>
      <w:kern w:val="2"/>
      <w:sz w:val="24"/>
      <w:szCs w:val="24"/>
      <w:lang w:val="en-US" w:eastAsia="zh-CN" w:bidi="ar-SA"/>
    </w:rPr>
  </w:style>
  <w:style w:type="paragraph" w:customStyle="1" w:styleId="214">
    <w:name w:val="TOC 标题5"/>
    <w:basedOn w:val="2"/>
    <w:next w:val="1"/>
    <w:qFormat/>
    <w:uiPriority w:val="39"/>
    <w:pPr>
      <w:widowControl/>
      <w:snapToGrid w:val="0"/>
      <w:spacing w:before="240" w:after="0" w:line="259" w:lineRule="auto"/>
      <w:ind w:left="1648" w:hanging="1080"/>
      <w:jc w:val="left"/>
      <w:outlineLvl w:val="9"/>
    </w:pPr>
    <w:rPr>
      <w:rFonts w:ascii="Calibri Light" w:hAnsi="Calibri Light"/>
      <w:b w:val="0"/>
      <w:bCs w:val="0"/>
      <w:color w:val="2E74B5"/>
      <w:kern w:val="0"/>
      <w:sz w:val="28"/>
      <w:szCs w:val="28"/>
    </w:rPr>
  </w:style>
  <w:style w:type="paragraph" w:customStyle="1" w:styleId="215">
    <w:name w:val="第二标题小节"/>
    <w:basedOn w:val="1"/>
    <w:qFormat/>
    <w:uiPriority w:val="99"/>
    <w:pPr>
      <w:spacing w:line="360" w:lineRule="auto"/>
      <w:outlineLvl w:val="1"/>
    </w:pPr>
    <w:rPr>
      <w:rFonts w:ascii="宋体" w:hAnsi="宋体"/>
      <w:b/>
      <w:sz w:val="28"/>
      <w:szCs w:val="28"/>
    </w:rPr>
  </w:style>
  <w:style w:type="table" w:customStyle="1" w:styleId="216">
    <w:name w:val="网格型1018"/>
    <w:basedOn w:val="38"/>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7">
    <w:name w:val="网格型4"/>
    <w:basedOn w:val="38"/>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8">
    <w:name w:val="网格型1014"/>
    <w:basedOn w:val="38"/>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9">
    <w:name w:val="网格型1015"/>
    <w:basedOn w:val="38"/>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0">
    <w:name w:val="网格型1016"/>
    <w:basedOn w:val="38"/>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1">
    <w:name w:val="网格型1017"/>
    <w:basedOn w:val="38"/>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22">
    <w:name w:val="修订7"/>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23">
    <w:name w:val="修订8"/>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24">
    <w:name w:val="修订9"/>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25">
    <w:name w:val="修订10"/>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26">
    <w:name w:val="修订12"/>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27">
    <w:name w:val="xl6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28">
    <w:name w:val="xl64"/>
    <w:basedOn w:val="1"/>
    <w:qFormat/>
    <w:uiPriority w:val="99"/>
    <w:pPr>
      <w:widowControl/>
      <w:pBdr>
        <w:top w:val="single" w:color="auto" w:sz="4" w:space="0"/>
        <w:left w:val="single" w:color="auto" w:sz="4" w:space="0"/>
        <w:bottom w:val="single" w:color="auto" w:sz="4" w:space="0"/>
        <w:right w:val="single" w:color="auto" w:sz="4" w:space="0"/>
      </w:pBdr>
      <w:shd w:val="clear" w:color="000000" w:fill="FFF2CC"/>
      <w:spacing w:before="100" w:beforeAutospacing="1" w:after="100" w:afterAutospacing="1"/>
      <w:jc w:val="center"/>
    </w:pPr>
    <w:rPr>
      <w:rFonts w:ascii="宋体" w:hAnsi="宋体" w:cs="宋体"/>
      <w:kern w:val="0"/>
      <w:sz w:val="24"/>
      <w:szCs w:val="24"/>
    </w:rPr>
  </w:style>
  <w:style w:type="paragraph" w:customStyle="1" w:styleId="229">
    <w:name w:val="修订13"/>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230">
    <w:name w:val="未处理的提及2"/>
    <w:basedOn w:val="41"/>
    <w:semiHidden/>
    <w:unhideWhenUsed/>
    <w:qFormat/>
    <w:uiPriority w:val="99"/>
    <w:rPr>
      <w:color w:val="605E5C"/>
      <w:shd w:val="clear" w:color="auto" w:fill="E1DFDD"/>
    </w:rPr>
  </w:style>
  <w:style w:type="paragraph" w:customStyle="1" w:styleId="231">
    <w:name w:val="修订14"/>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32">
    <w:name w:val="font21"/>
    <w:basedOn w:val="41"/>
    <w:qFormat/>
    <w:uiPriority w:val="0"/>
    <w:rPr>
      <w:rFonts w:hint="eastAsia" w:ascii="宋体" w:hAnsi="宋体" w:eastAsia="宋体" w:cs="宋体"/>
      <w:color w:val="000000"/>
      <w:sz w:val="16"/>
      <w:szCs w:val="16"/>
      <w:u w:val="none"/>
    </w:rPr>
  </w:style>
  <w:style w:type="paragraph" w:customStyle="1" w:styleId="233">
    <w:name w:val="修订15"/>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34">
    <w:name w:val="修订16"/>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35">
    <w:name w:val="修订17"/>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36">
    <w:name w:val="修订1711"/>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37">
    <w:name w:val="修订17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38">
    <w:name w:val="未处理的提及3"/>
    <w:basedOn w:val="41"/>
    <w:semiHidden/>
    <w:unhideWhenUsed/>
    <w:qFormat/>
    <w:uiPriority w:val="99"/>
    <w:rPr>
      <w:color w:val="605E5C"/>
      <w:shd w:val="clear" w:color="auto" w:fill="E1DFDD"/>
    </w:rPr>
  </w:style>
  <w:style w:type="paragraph" w:customStyle="1" w:styleId="239">
    <w:name w:val="TOC 标题6"/>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496" w:themeColor="accent1" w:themeShade="BF"/>
      <w:kern w:val="0"/>
      <w:sz w:val="32"/>
      <w:szCs w:val="32"/>
    </w:rPr>
  </w:style>
  <w:style w:type="paragraph" w:customStyle="1" w:styleId="240">
    <w:name w:val="修订18"/>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41">
    <w:name w:val="修订19"/>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42">
    <w:name w:val="修订20"/>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43">
    <w:name w:val="修订21"/>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44">
    <w:name w:val="修订22"/>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45">
    <w:name w:val="修订23"/>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46">
    <w:name w:val="正文3"/>
    <w:qFormat/>
    <w:uiPriority w:val="99"/>
    <w:pPr>
      <w:jc w:val="both"/>
    </w:pPr>
    <w:rPr>
      <w:rFonts w:ascii="仿宋_GB2312" w:hAnsi="宋体" w:eastAsia="宋体" w:cs="宋体"/>
      <w:kern w:val="2"/>
      <w:sz w:val="21"/>
      <w:szCs w:val="21"/>
      <w:lang w:val="en-US" w:eastAsia="zh-CN" w:bidi="ar-SA"/>
    </w:rPr>
  </w:style>
  <w:style w:type="character" w:customStyle="1" w:styleId="247">
    <w:name w:val="未处理的提及4"/>
    <w:basedOn w:val="41"/>
    <w:semiHidden/>
    <w:unhideWhenUsed/>
    <w:qFormat/>
    <w:uiPriority w:val="99"/>
    <w:rPr>
      <w:color w:val="605E5C"/>
      <w:shd w:val="clear" w:color="auto" w:fill="E1DFDD"/>
    </w:rPr>
  </w:style>
  <w:style w:type="paragraph" w:customStyle="1" w:styleId="248">
    <w:name w:val="修订24"/>
    <w:hidden/>
    <w:semiHidden/>
    <w:qFormat/>
    <w:uiPriority w:val="99"/>
    <w:rPr>
      <w:rFonts w:ascii="Calibri" w:hAnsi="Calibri" w:eastAsia="宋体" w:cs="Times New Roman"/>
      <w:kern w:val="2"/>
      <w:sz w:val="21"/>
      <w:szCs w:val="21"/>
      <w:lang w:val="en-US" w:eastAsia="zh-CN" w:bidi="ar-SA"/>
    </w:rPr>
  </w:style>
  <w:style w:type="paragraph" w:customStyle="1" w:styleId="249">
    <w:name w:val="修订25"/>
    <w:hidden/>
    <w:unhideWhenUsed/>
    <w:qFormat/>
    <w:uiPriority w:val="99"/>
    <w:rPr>
      <w:rFonts w:ascii="Calibri" w:hAnsi="Calibri" w:eastAsia="宋体" w:cs="Times New Roman"/>
      <w:kern w:val="2"/>
      <w:sz w:val="21"/>
      <w:szCs w:val="21"/>
      <w:lang w:val="en-US" w:eastAsia="zh-CN" w:bidi="ar-SA"/>
    </w:rPr>
  </w:style>
  <w:style w:type="paragraph" w:customStyle="1" w:styleId="250">
    <w:name w:val="修订26"/>
    <w:hidden/>
    <w:unhideWhenUsed/>
    <w:qFormat/>
    <w:uiPriority w:val="99"/>
    <w:rPr>
      <w:rFonts w:ascii="Calibri" w:hAnsi="Calibri" w:eastAsia="宋体" w:cs="Times New Roman"/>
      <w:kern w:val="2"/>
      <w:sz w:val="21"/>
      <w:szCs w:val="21"/>
      <w:lang w:val="en-US" w:eastAsia="zh-CN" w:bidi="ar-SA"/>
    </w:rPr>
  </w:style>
  <w:style w:type="paragraph" w:customStyle="1" w:styleId="251">
    <w:name w:val="修订27"/>
    <w:hidden/>
    <w:unhideWhenUsed/>
    <w:qFormat/>
    <w:uiPriority w:val="99"/>
    <w:rPr>
      <w:rFonts w:ascii="Calibri" w:hAnsi="Calibri" w:eastAsia="宋体" w:cs="Times New Roman"/>
      <w:kern w:val="2"/>
      <w:sz w:val="21"/>
      <w:szCs w:val="21"/>
      <w:lang w:val="en-US" w:eastAsia="zh-CN" w:bidi="ar-SA"/>
    </w:rPr>
  </w:style>
  <w:style w:type="character" w:customStyle="1" w:styleId="252">
    <w:name w:val="未处理的提及5"/>
    <w:basedOn w:val="41"/>
    <w:semiHidden/>
    <w:unhideWhenUsed/>
    <w:qFormat/>
    <w:uiPriority w:val="99"/>
    <w:rPr>
      <w:color w:val="605E5C"/>
      <w:shd w:val="clear" w:color="auto" w:fill="E1DFDD"/>
    </w:rPr>
  </w:style>
  <w:style w:type="paragraph" w:customStyle="1" w:styleId="253">
    <w:name w:val="修订28"/>
    <w:hidden/>
    <w:unhideWhenUsed/>
    <w:qFormat/>
    <w:uiPriority w:val="99"/>
    <w:rPr>
      <w:rFonts w:ascii="Calibri" w:hAnsi="Calibri" w:eastAsia="宋体" w:cs="Times New Roman"/>
      <w:kern w:val="2"/>
      <w:sz w:val="21"/>
      <w:szCs w:val="21"/>
      <w:lang w:val="en-US" w:eastAsia="zh-CN" w:bidi="ar-SA"/>
    </w:rPr>
  </w:style>
  <w:style w:type="paragraph" w:customStyle="1" w:styleId="254">
    <w:name w:val="修订29"/>
    <w:hidden/>
    <w:unhideWhenUsed/>
    <w:qFormat/>
    <w:uiPriority w:val="99"/>
    <w:rPr>
      <w:rFonts w:ascii="Calibri" w:hAnsi="Calibri" w:eastAsia="宋体" w:cs="Times New Roman"/>
      <w:kern w:val="2"/>
      <w:sz w:val="21"/>
      <w:szCs w:val="21"/>
      <w:lang w:val="en-US" w:eastAsia="zh-CN" w:bidi="ar-SA"/>
    </w:rPr>
  </w:style>
  <w:style w:type="paragraph" w:customStyle="1" w:styleId="255">
    <w:name w:val="修订30"/>
    <w:hidden/>
    <w:unhideWhenUsed/>
    <w:qFormat/>
    <w:uiPriority w:val="99"/>
    <w:rPr>
      <w:rFonts w:ascii="Calibri" w:hAnsi="Calibri" w:eastAsia="宋体" w:cs="Times New Roman"/>
      <w:kern w:val="2"/>
      <w:sz w:val="21"/>
      <w:szCs w:val="21"/>
      <w:lang w:val="en-US" w:eastAsia="zh-CN" w:bidi="ar-SA"/>
    </w:rPr>
  </w:style>
  <w:style w:type="paragraph" w:customStyle="1" w:styleId="256">
    <w:name w:val="修订31"/>
    <w:hidden/>
    <w:unhideWhenUsed/>
    <w:qFormat/>
    <w:uiPriority w:val="99"/>
    <w:rPr>
      <w:rFonts w:ascii="Calibri" w:hAnsi="Calibri"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103</Pages>
  <Words>1374</Words>
  <Characters>1466</Characters>
  <Lines>2413</Lines>
  <Paragraphs>1414</Paragraphs>
  <TotalTime>330</TotalTime>
  <ScaleCrop>false</ScaleCrop>
  <LinksUpToDate>false</LinksUpToDate>
  <CharactersWithSpaces>1587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2024-12-23T03:15:00Z</dcterms:created>
  <dc:creator>Administrator</dc:creator>
  <cp:lastModifiedBy>企业用户_521229500</cp:lastModifiedBy>
  <cp:lastPrinted>2025-03-06T01:38:00Z</cp:lastPrinted>
  <dcterms:modified xsi:type="dcterms:W3CDTF">2025-04-28T08:33:32Z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04E08D3DFF6D488CACECAD4249F618A8_13</vt:lpwstr>
  </property>
  <property fmtid="{D5CDD505-2E9C-101B-9397-08002B2CF9AE}" pid="4" name="KSOTemplateDocerSaveRecord">
    <vt:lpwstr>eyJoZGlkIjoiZWJhNjQ2MjUyZDc1YTM0MmVjZmFiNDg3YmQ1NmYxYmEiLCJ1c2VySWQiOiIxNjQ0NDg1NzkxIn0=</vt:lpwstr>
  </property>
</Properties>
</file>