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50D59B">
      <w:pPr>
        <w:spacing w:line="60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2024年1-11月无锡</w:t>
      </w:r>
      <w:r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  <w:t>国民</w:t>
      </w:r>
      <w:r>
        <w:rPr>
          <w:rFonts w:ascii="Times New Roman" w:hAnsi="Times New Roman" w:eastAsia="方正小标宋_GBK" w:cs="Times New Roman"/>
          <w:sz w:val="36"/>
          <w:szCs w:val="36"/>
        </w:rPr>
        <w:t>经济运行</w:t>
      </w:r>
      <w:r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  <w:t>情况综述</w:t>
      </w:r>
    </w:p>
    <w:p w14:paraId="3F1F58AD">
      <w:pPr>
        <w:rPr>
          <w:rFonts w:ascii="Times New Roman" w:hAnsi="Times New Roman" w:eastAsia="方正仿宋_GBK" w:cs="Times New Roman"/>
          <w:sz w:val="32"/>
          <w:szCs w:val="32"/>
        </w:rPr>
      </w:pPr>
    </w:p>
    <w:p w14:paraId="716298D7">
      <w:pPr>
        <w:spacing w:line="56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1—11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月，全市经济运行向好发展基础不断巩固，主要经济指标延续稳定增长态势。具体情况如下：</w:t>
      </w:r>
    </w:p>
    <w:p w14:paraId="69F01303">
      <w:pPr>
        <w:spacing w:line="560" w:lineRule="exact"/>
        <w:ind w:firstLine="560" w:firstLineChars="200"/>
        <w:rPr>
          <w:rFonts w:ascii="方正黑体_GBK" w:hAnsi="Times New Roman" w:eastAsia="方正黑体_GBK" w:cs="Times New Roman"/>
          <w:sz w:val="28"/>
          <w:szCs w:val="28"/>
        </w:rPr>
      </w:pPr>
      <w:r>
        <w:rPr>
          <w:rFonts w:hint="eastAsia" w:ascii="方正黑体_GBK" w:hAnsi="Times New Roman" w:eastAsia="方正黑体_GBK" w:cs="Times New Roman"/>
          <w:sz w:val="28"/>
          <w:szCs w:val="28"/>
        </w:rPr>
        <w:t>一、工业</w:t>
      </w:r>
    </w:p>
    <w:p w14:paraId="3A164D41">
      <w:pPr>
        <w:spacing w:line="56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1—11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月，全市规模以上工业增加值同比增长</w:t>
      </w:r>
      <w:r>
        <w:rPr>
          <w:rFonts w:ascii="Times New Roman" w:hAnsi="Times New Roman" w:eastAsia="方正仿宋_GBK" w:cs="Times New Roman"/>
          <w:sz w:val="28"/>
          <w:szCs w:val="28"/>
        </w:rPr>
        <w:t>6.5%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。全市十大工业行业增加值同比均实现增长，其中铁路船舶航空业、化学原料业、橡胶塑料业和通信电子业实现两位数增长，分别同比增长</w:t>
      </w:r>
      <w:r>
        <w:rPr>
          <w:rFonts w:ascii="Times New Roman" w:hAnsi="Times New Roman" w:eastAsia="方正仿宋_GBK" w:cs="Times New Roman"/>
          <w:sz w:val="28"/>
          <w:szCs w:val="28"/>
        </w:rPr>
        <w:t>16.1%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、</w:t>
      </w:r>
      <w:r>
        <w:rPr>
          <w:rFonts w:ascii="Times New Roman" w:hAnsi="Times New Roman" w:eastAsia="方正仿宋_GBK" w:cs="Times New Roman"/>
          <w:sz w:val="28"/>
          <w:szCs w:val="28"/>
        </w:rPr>
        <w:t>15.4%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、</w:t>
      </w:r>
      <w:r>
        <w:rPr>
          <w:rFonts w:ascii="Times New Roman" w:hAnsi="Times New Roman" w:eastAsia="方正仿宋_GBK" w:cs="Times New Roman"/>
          <w:sz w:val="28"/>
          <w:szCs w:val="28"/>
        </w:rPr>
        <w:t>13.7%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和</w:t>
      </w:r>
      <w:r>
        <w:rPr>
          <w:rFonts w:ascii="Times New Roman" w:hAnsi="Times New Roman" w:eastAsia="方正仿宋_GBK" w:cs="Times New Roman"/>
          <w:sz w:val="28"/>
          <w:szCs w:val="28"/>
        </w:rPr>
        <w:t>10.3%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；金属制品业同比增长</w:t>
      </w:r>
      <w:r>
        <w:rPr>
          <w:rFonts w:ascii="Times New Roman" w:hAnsi="Times New Roman" w:eastAsia="方正仿宋_GBK" w:cs="Times New Roman"/>
          <w:sz w:val="28"/>
          <w:szCs w:val="28"/>
        </w:rPr>
        <w:t>7.2%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，高于全市规模以上工业平均水平；专用设备业、电气机械业、汽车制造业、钢铁行业和通用设备制造业分别同比增长</w:t>
      </w:r>
      <w:r>
        <w:rPr>
          <w:rFonts w:ascii="Times New Roman" w:hAnsi="Times New Roman" w:eastAsia="方正仿宋_GBK" w:cs="Times New Roman"/>
          <w:sz w:val="28"/>
          <w:szCs w:val="28"/>
        </w:rPr>
        <w:t>5.8%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、</w:t>
      </w:r>
      <w:r>
        <w:rPr>
          <w:rFonts w:ascii="Times New Roman" w:hAnsi="Times New Roman" w:eastAsia="方正仿宋_GBK" w:cs="Times New Roman"/>
          <w:sz w:val="28"/>
          <w:szCs w:val="28"/>
        </w:rPr>
        <w:t>5.1%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、</w:t>
      </w:r>
      <w:r>
        <w:rPr>
          <w:rFonts w:ascii="Times New Roman" w:hAnsi="Times New Roman" w:eastAsia="方正仿宋_GBK" w:cs="Times New Roman"/>
          <w:sz w:val="28"/>
          <w:szCs w:val="28"/>
        </w:rPr>
        <w:t>4.7%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、</w:t>
      </w:r>
      <w:r>
        <w:rPr>
          <w:rFonts w:ascii="Times New Roman" w:hAnsi="Times New Roman" w:eastAsia="方正仿宋_GBK" w:cs="Times New Roman"/>
          <w:sz w:val="28"/>
          <w:szCs w:val="28"/>
        </w:rPr>
        <w:t>1.8%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和</w:t>
      </w:r>
      <w:r>
        <w:rPr>
          <w:rFonts w:ascii="Times New Roman" w:hAnsi="Times New Roman" w:eastAsia="方正仿宋_GBK" w:cs="Times New Roman"/>
          <w:sz w:val="28"/>
          <w:szCs w:val="28"/>
        </w:rPr>
        <w:t>0.4%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 w14:paraId="049E976D">
      <w:pPr>
        <w:spacing w:line="560" w:lineRule="exact"/>
        <w:ind w:firstLine="560" w:firstLineChars="200"/>
        <w:rPr>
          <w:rFonts w:ascii="方正黑体_GBK" w:hAnsi="Times New Roman" w:eastAsia="方正黑体_GBK" w:cs="Times New Roman"/>
          <w:sz w:val="28"/>
          <w:szCs w:val="28"/>
        </w:rPr>
      </w:pPr>
      <w:r>
        <w:rPr>
          <w:rFonts w:hint="eastAsia" w:ascii="方正黑体_GBK" w:hAnsi="Times New Roman" w:eastAsia="方正黑体_GBK" w:cs="Times New Roman"/>
          <w:sz w:val="28"/>
          <w:szCs w:val="28"/>
        </w:rPr>
        <w:t>二、服务业</w:t>
      </w:r>
    </w:p>
    <w:p w14:paraId="5323D7C9">
      <w:pPr>
        <w:spacing w:line="56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1—10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月，全市规模以上服务业营业收入</w:t>
      </w:r>
      <w:r>
        <w:rPr>
          <w:rFonts w:ascii="Times New Roman" w:hAnsi="Times New Roman" w:eastAsia="方正仿宋_GBK" w:cs="Times New Roman"/>
          <w:sz w:val="28"/>
          <w:szCs w:val="28"/>
        </w:rPr>
        <w:t>1902.31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亿元，同比增长</w:t>
      </w:r>
      <w:r>
        <w:rPr>
          <w:rFonts w:ascii="Times New Roman" w:hAnsi="Times New Roman" w:eastAsia="方正仿宋_GBK" w:cs="Times New Roman"/>
          <w:sz w:val="28"/>
          <w:szCs w:val="28"/>
        </w:rPr>
        <w:t>12.0%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。分行业看，全市规模以上服务业十个门类行业营业收入同比“九增一降”。其中，规模最大的信息传输、软件和信息技术服务业，租赁和商务服务业对规模以上服务业支撑度较好，同比分别增长</w:t>
      </w:r>
      <w:r>
        <w:rPr>
          <w:rFonts w:ascii="Times New Roman" w:hAnsi="Times New Roman" w:eastAsia="方正仿宋_GBK" w:cs="Times New Roman"/>
          <w:sz w:val="28"/>
          <w:szCs w:val="28"/>
        </w:rPr>
        <w:t>14.3%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、</w:t>
      </w:r>
      <w:r>
        <w:rPr>
          <w:rFonts w:ascii="Times New Roman" w:hAnsi="Times New Roman" w:eastAsia="方正仿宋_GBK" w:cs="Times New Roman"/>
          <w:sz w:val="28"/>
          <w:szCs w:val="28"/>
        </w:rPr>
        <w:t>15.4%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，科学研究和技术服务业营业收入增速最高，同比增长</w:t>
      </w:r>
      <w:r>
        <w:rPr>
          <w:rFonts w:ascii="Times New Roman" w:hAnsi="Times New Roman" w:eastAsia="方正仿宋_GBK" w:cs="Times New Roman"/>
          <w:sz w:val="28"/>
          <w:szCs w:val="28"/>
        </w:rPr>
        <w:t>20.4%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，卫生和社会工作同比微降0</w:t>
      </w:r>
      <w:r>
        <w:rPr>
          <w:rFonts w:ascii="Times New Roman" w:hAnsi="Times New Roman" w:eastAsia="方正仿宋_GBK" w:cs="Times New Roman"/>
          <w:sz w:val="28"/>
          <w:szCs w:val="28"/>
        </w:rPr>
        <w:t>.9%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 w14:paraId="211A13C9">
      <w:pPr>
        <w:spacing w:line="560" w:lineRule="exact"/>
        <w:ind w:firstLine="560" w:firstLineChars="200"/>
        <w:rPr>
          <w:rFonts w:ascii="方正黑体_GBK" w:hAnsi="Times New Roman" w:eastAsia="方正黑体_GBK" w:cs="Times New Roman"/>
          <w:sz w:val="28"/>
          <w:szCs w:val="28"/>
        </w:rPr>
      </w:pPr>
      <w:r>
        <w:rPr>
          <w:rFonts w:hint="eastAsia" w:ascii="方正黑体_GBK" w:hAnsi="Times New Roman" w:eastAsia="方正黑体_GBK" w:cs="Times New Roman"/>
          <w:sz w:val="28"/>
          <w:szCs w:val="28"/>
        </w:rPr>
        <w:t>三、消费</w:t>
      </w:r>
    </w:p>
    <w:p w14:paraId="2EFB3382">
      <w:pPr>
        <w:spacing w:line="56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1—11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月，全市实现社会消费品零售总额</w:t>
      </w:r>
      <w:r>
        <w:rPr>
          <w:rFonts w:ascii="Times New Roman" w:hAnsi="Times New Roman" w:eastAsia="方正仿宋_GBK" w:cs="Times New Roman"/>
          <w:sz w:val="28"/>
          <w:szCs w:val="28"/>
        </w:rPr>
        <w:t>3388.08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亿元，同比增长</w:t>
      </w:r>
      <w:r>
        <w:rPr>
          <w:rFonts w:ascii="Times New Roman" w:hAnsi="Times New Roman" w:eastAsia="方正仿宋_GBK" w:cs="Times New Roman"/>
          <w:sz w:val="28"/>
          <w:szCs w:val="28"/>
        </w:rPr>
        <w:t>4.5%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。限额以上批发和零售业</w:t>
      </w:r>
      <w:r>
        <w:rPr>
          <w:rFonts w:ascii="Times New Roman" w:hAnsi="Times New Roman" w:eastAsia="方正仿宋_GBK" w:cs="Times New Roman"/>
          <w:sz w:val="28"/>
          <w:szCs w:val="28"/>
        </w:rPr>
        <w:t>18类主要商品中，零售额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同比</w:t>
      </w:r>
      <w:r>
        <w:rPr>
          <w:rFonts w:ascii="Times New Roman" w:hAnsi="Times New Roman" w:eastAsia="方正仿宋_GBK" w:cs="Times New Roman"/>
          <w:sz w:val="28"/>
          <w:szCs w:val="28"/>
        </w:rPr>
        <w:t>呈现正增长的商品类别达13类，其中化妆品类同比增长13.7%、中西药品类同比增长13.0%、五金电料类同比增长10.6%。</w:t>
      </w:r>
      <w:bookmarkStart w:id="0" w:name="_GoBack"/>
      <w:bookmarkEnd w:id="0"/>
    </w:p>
    <w:p w14:paraId="42D526B8">
      <w:pPr>
        <w:spacing w:line="560" w:lineRule="exact"/>
        <w:ind w:firstLine="560" w:firstLineChars="200"/>
        <w:rPr>
          <w:rFonts w:ascii="方正黑体_GBK" w:hAnsi="Times New Roman" w:eastAsia="方正黑体_GBK" w:cs="Times New Roman"/>
          <w:sz w:val="28"/>
          <w:szCs w:val="28"/>
        </w:rPr>
      </w:pPr>
      <w:r>
        <w:rPr>
          <w:rFonts w:hint="eastAsia" w:ascii="方正黑体_GBK" w:hAnsi="Times New Roman" w:eastAsia="方正黑体_GBK" w:cs="Times New Roman"/>
          <w:sz w:val="28"/>
          <w:szCs w:val="28"/>
        </w:rPr>
        <w:t>四、投资</w:t>
      </w:r>
    </w:p>
    <w:p w14:paraId="063B2EB3">
      <w:pPr>
        <w:spacing w:line="56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1—11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月，全市完成固定资产投资</w:t>
      </w:r>
      <w:r>
        <w:rPr>
          <w:rFonts w:ascii="Times New Roman" w:hAnsi="Times New Roman" w:eastAsia="方正仿宋_GBK" w:cs="Times New Roman"/>
          <w:sz w:val="28"/>
          <w:szCs w:val="28"/>
        </w:rPr>
        <w:t>4377.99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亿元，同比增长</w:t>
      </w:r>
      <w:r>
        <w:rPr>
          <w:rFonts w:ascii="Times New Roman" w:hAnsi="Times New Roman" w:eastAsia="方正仿宋_GBK" w:cs="Times New Roman"/>
          <w:sz w:val="28"/>
          <w:szCs w:val="28"/>
        </w:rPr>
        <w:t>4.4%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。工业投资同比增长</w:t>
      </w:r>
      <w:r>
        <w:rPr>
          <w:rFonts w:ascii="Times New Roman" w:hAnsi="Times New Roman" w:eastAsia="方正仿宋_GBK" w:cs="Times New Roman"/>
          <w:sz w:val="28"/>
          <w:szCs w:val="28"/>
        </w:rPr>
        <w:t>11.3%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，制造业投资同比增长</w:t>
      </w:r>
      <w:r>
        <w:rPr>
          <w:rFonts w:ascii="Times New Roman" w:hAnsi="Times New Roman" w:eastAsia="方正仿宋_GBK" w:cs="Times New Roman"/>
          <w:sz w:val="28"/>
          <w:szCs w:val="28"/>
        </w:rPr>
        <w:t>7.8%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，其中，先进制造业投资同比增长</w:t>
      </w:r>
      <w:r>
        <w:rPr>
          <w:rFonts w:ascii="Times New Roman" w:hAnsi="Times New Roman" w:eastAsia="方正仿宋_GBK" w:cs="Times New Roman"/>
          <w:sz w:val="28"/>
          <w:szCs w:val="28"/>
        </w:rPr>
        <w:t>13.2%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，高技术制造业投资同比增长</w:t>
      </w:r>
      <w:r>
        <w:rPr>
          <w:rFonts w:ascii="Times New Roman" w:hAnsi="Times New Roman" w:eastAsia="方正仿宋_GBK" w:cs="Times New Roman"/>
          <w:sz w:val="28"/>
          <w:szCs w:val="28"/>
        </w:rPr>
        <w:t>22.7%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。高新技术产业投资同比增长</w:t>
      </w:r>
      <w:r>
        <w:rPr>
          <w:rFonts w:ascii="Times New Roman" w:hAnsi="Times New Roman" w:eastAsia="方正仿宋_GBK" w:cs="Times New Roman"/>
          <w:sz w:val="28"/>
          <w:szCs w:val="28"/>
        </w:rPr>
        <w:t>10.0%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，战略性新兴产业投资同比增长</w:t>
      </w:r>
      <w:r>
        <w:rPr>
          <w:rFonts w:ascii="Times New Roman" w:hAnsi="Times New Roman" w:eastAsia="方正仿宋_GBK" w:cs="Times New Roman"/>
          <w:sz w:val="28"/>
          <w:szCs w:val="28"/>
        </w:rPr>
        <w:t>12.4%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 w14:paraId="277B3D67">
      <w:pPr>
        <w:spacing w:line="560" w:lineRule="exact"/>
        <w:ind w:firstLine="560" w:firstLineChars="200"/>
        <w:rPr>
          <w:rFonts w:ascii="方正黑体_GBK" w:hAnsi="Times New Roman" w:eastAsia="方正黑体_GBK" w:cs="Times New Roman"/>
          <w:sz w:val="28"/>
          <w:szCs w:val="28"/>
        </w:rPr>
      </w:pPr>
      <w:r>
        <w:rPr>
          <w:rFonts w:hint="eastAsia" w:ascii="方正黑体_GBK" w:hAnsi="Times New Roman" w:eastAsia="方正黑体_GBK" w:cs="Times New Roman"/>
          <w:sz w:val="28"/>
          <w:szCs w:val="28"/>
        </w:rPr>
        <w:t>五、外贸</w:t>
      </w:r>
    </w:p>
    <w:p w14:paraId="3DEF70FC">
      <w:pPr>
        <w:spacing w:line="56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1—11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月，全市进出口总值</w:t>
      </w:r>
      <w:r>
        <w:rPr>
          <w:rFonts w:ascii="Times New Roman" w:hAnsi="Times New Roman" w:eastAsia="方正仿宋_GBK" w:cs="Times New Roman"/>
          <w:sz w:val="28"/>
          <w:szCs w:val="28"/>
        </w:rPr>
        <w:t>6994.24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亿元，同比增长</w:t>
      </w:r>
      <w:r>
        <w:rPr>
          <w:rFonts w:ascii="Times New Roman" w:hAnsi="Times New Roman" w:eastAsia="方正仿宋_GBK" w:cs="Times New Roman"/>
          <w:sz w:val="28"/>
          <w:szCs w:val="28"/>
        </w:rPr>
        <w:t>9.5%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。其中，进口</w:t>
      </w:r>
      <w:r>
        <w:rPr>
          <w:rFonts w:ascii="Times New Roman" w:hAnsi="Times New Roman" w:eastAsia="方正仿宋_GBK" w:cs="Times New Roman"/>
          <w:sz w:val="28"/>
          <w:szCs w:val="28"/>
        </w:rPr>
        <w:t>2456.09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亿元，同比增长</w:t>
      </w:r>
      <w:r>
        <w:rPr>
          <w:rFonts w:ascii="Times New Roman" w:hAnsi="Times New Roman" w:eastAsia="方正仿宋_GBK" w:cs="Times New Roman"/>
          <w:sz w:val="28"/>
          <w:szCs w:val="28"/>
        </w:rPr>
        <w:t>13.0%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；出口</w:t>
      </w:r>
      <w:r>
        <w:rPr>
          <w:rFonts w:ascii="Times New Roman" w:hAnsi="Times New Roman" w:eastAsia="方正仿宋_GBK" w:cs="Times New Roman"/>
          <w:sz w:val="28"/>
          <w:szCs w:val="28"/>
        </w:rPr>
        <w:t>4538.15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亿元，同比增长</w:t>
      </w:r>
      <w:r>
        <w:rPr>
          <w:rFonts w:ascii="Times New Roman" w:hAnsi="Times New Roman" w:eastAsia="方正仿宋_GBK" w:cs="Times New Roman"/>
          <w:sz w:val="28"/>
          <w:szCs w:val="28"/>
        </w:rPr>
        <w:t>7.7%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。从出口产品看，机电产品出口</w:t>
      </w:r>
      <w:r>
        <w:rPr>
          <w:rFonts w:ascii="Times New Roman" w:hAnsi="Times New Roman" w:eastAsia="方正仿宋_GBK" w:cs="Times New Roman"/>
          <w:sz w:val="28"/>
          <w:szCs w:val="28"/>
        </w:rPr>
        <w:t>3185.75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亿元，同比增长</w:t>
      </w:r>
      <w:r>
        <w:rPr>
          <w:rFonts w:ascii="Times New Roman" w:hAnsi="Times New Roman" w:eastAsia="方正仿宋_GBK" w:cs="Times New Roman"/>
          <w:sz w:val="28"/>
          <w:szCs w:val="28"/>
        </w:rPr>
        <w:t>10.9%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；高新技术产品出口</w:t>
      </w:r>
      <w:r>
        <w:rPr>
          <w:rFonts w:ascii="Times New Roman" w:hAnsi="Times New Roman" w:eastAsia="方正仿宋_GBK" w:cs="Times New Roman"/>
          <w:sz w:val="28"/>
          <w:szCs w:val="28"/>
        </w:rPr>
        <w:t>1726.99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亿元，同比增长</w:t>
      </w:r>
      <w:r>
        <w:rPr>
          <w:rFonts w:ascii="Times New Roman" w:hAnsi="Times New Roman" w:eastAsia="方正仿宋_GBK" w:cs="Times New Roman"/>
          <w:sz w:val="28"/>
          <w:szCs w:val="28"/>
        </w:rPr>
        <w:t>11.8%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 w14:paraId="25CE41D9">
      <w:pPr>
        <w:spacing w:line="560" w:lineRule="exact"/>
        <w:ind w:firstLine="560" w:firstLineChars="200"/>
        <w:rPr>
          <w:rFonts w:ascii="方正黑体_GBK" w:hAnsi="Times New Roman" w:eastAsia="方正黑体_GBK" w:cs="Times New Roman"/>
          <w:sz w:val="28"/>
          <w:szCs w:val="28"/>
        </w:rPr>
      </w:pPr>
      <w:r>
        <w:rPr>
          <w:rFonts w:hint="eastAsia" w:ascii="方正黑体_GBK" w:hAnsi="Times New Roman" w:eastAsia="方正黑体_GBK" w:cs="Times New Roman"/>
          <w:sz w:val="28"/>
          <w:szCs w:val="28"/>
        </w:rPr>
        <w:t>六、金融</w:t>
      </w:r>
    </w:p>
    <w:p w14:paraId="74C0F48D">
      <w:pPr>
        <w:spacing w:line="560" w:lineRule="exact"/>
        <w:ind w:firstLine="560" w:firstLineChars="200"/>
        <w:rPr>
          <w:rFonts w:ascii="Times New Roman" w:hAnsi="Times New Roman" w:eastAsia="方正楷体_GBK" w:cs="Times New Roman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sz w:val="28"/>
          <w:szCs w:val="28"/>
        </w:rPr>
        <w:t>截至</w:t>
      </w:r>
      <w:r>
        <w:rPr>
          <w:rFonts w:ascii="Times New Roman" w:hAnsi="Times New Roman" w:eastAsia="方正仿宋_GBK" w:cs="Times New Roman"/>
          <w:sz w:val="28"/>
          <w:szCs w:val="28"/>
        </w:rPr>
        <w:t>11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月末，全市金融机构本外币存款余额</w:t>
      </w:r>
      <w:r>
        <w:rPr>
          <w:rFonts w:ascii="Times New Roman" w:hAnsi="Times New Roman" w:eastAsia="方正仿宋_GBK" w:cs="Times New Roman"/>
          <w:sz w:val="28"/>
          <w:szCs w:val="28"/>
        </w:rPr>
        <w:t>28855.14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亿元，比年初增加</w:t>
      </w:r>
      <w:r>
        <w:rPr>
          <w:rFonts w:ascii="Times New Roman" w:hAnsi="Times New Roman" w:eastAsia="方正仿宋_GBK" w:cs="Times New Roman"/>
          <w:sz w:val="28"/>
          <w:szCs w:val="28"/>
        </w:rPr>
        <w:t>1617.96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亿元，同比增长</w:t>
      </w:r>
      <w:r>
        <w:rPr>
          <w:rFonts w:ascii="Times New Roman" w:hAnsi="Times New Roman" w:eastAsia="方正仿宋_GBK" w:cs="Times New Roman"/>
          <w:sz w:val="28"/>
          <w:szCs w:val="28"/>
        </w:rPr>
        <w:t>6.9%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；金融机构本外币贷款余额</w:t>
      </w:r>
      <w:r>
        <w:rPr>
          <w:rFonts w:ascii="Times New Roman" w:hAnsi="Times New Roman" w:eastAsia="方正仿宋_GBK" w:cs="Times New Roman"/>
          <w:sz w:val="28"/>
          <w:szCs w:val="28"/>
        </w:rPr>
        <w:t>25043.84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亿元，比年初增加</w:t>
      </w:r>
      <w:r>
        <w:rPr>
          <w:rFonts w:ascii="Times New Roman" w:hAnsi="Times New Roman" w:eastAsia="方正仿宋_GBK" w:cs="Times New Roman"/>
          <w:sz w:val="28"/>
          <w:szCs w:val="28"/>
        </w:rPr>
        <w:t>2462.16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亿元，同比增长</w:t>
      </w:r>
      <w:r>
        <w:rPr>
          <w:rFonts w:ascii="Times New Roman" w:hAnsi="Times New Roman" w:eastAsia="方正仿宋_GBK" w:cs="Times New Roman"/>
          <w:sz w:val="28"/>
          <w:szCs w:val="28"/>
        </w:rPr>
        <w:t>12.0%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 w14:paraId="2972B372">
      <w:pPr>
        <w:spacing w:line="560" w:lineRule="exact"/>
        <w:ind w:firstLine="560" w:firstLineChars="200"/>
        <w:rPr>
          <w:rFonts w:ascii="方正黑体_GBK" w:hAnsi="Times New Roman" w:eastAsia="方正黑体_GBK" w:cs="Times New Roman"/>
          <w:sz w:val="28"/>
          <w:szCs w:val="28"/>
        </w:rPr>
      </w:pPr>
      <w:r>
        <w:rPr>
          <w:rFonts w:hint="eastAsia" w:ascii="方正黑体_GBK" w:hAnsi="Times New Roman" w:eastAsia="方正黑体_GBK" w:cs="Times New Roman"/>
          <w:sz w:val="28"/>
          <w:szCs w:val="28"/>
        </w:rPr>
        <w:t>七、物价</w:t>
      </w:r>
    </w:p>
    <w:p w14:paraId="7C036835">
      <w:pPr>
        <w:spacing w:line="56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11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月份，无锡居民消费价格（</w:t>
      </w:r>
      <w:r>
        <w:rPr>
          <w:rFonts w:ascii="Times New Roman" w:hAnsi="Times New Roman" w:eastAsia="方正仿宋_GBK" w:cs="Times New Roman"/>
          <w:sz w:val="28"/>
          <w:szCs w:val="28"/>
        </w:rPr>
        <w:t>CPI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）同比持平。其中，</w:t>
      </w:r>
      <w:r>
        <w:rPr>
          <w:rFonts w:ascii="Times New Roman" w:hAnsi="Times New Roman" w:eastAsia="方正仿宋_GBK" w:cs="Times New Roman"/>
          <w:sz w:val="28"/>
          <w:szCs w:val="28"/>
        </w:rPr>
        <w:t>食品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烟酒价格同比上涨</w:t>
      </w:r>
      <w:r>
        <w:rPr>
          <w:rFonts w:ascii="Times New Roman" w:hAnsi="Times New Roman" w:eastAsia="方正仿宋_GBK" w:cs="Times New Roman"/>
          <w:sz w:val="28"/>
          <w:szCs w:val="28"/>
        </w:rPr>
        <w:t>1.7%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</w:t>
      </w:r>
      <w:r>
        <w:rPr>
          <w:rFonts w:ascii="Times New Roman" w:hAnsi="Times New Roman" w:eastAsia="方正仿宋_GBK" w:cs="Times New Roman"/>
          <w:sz w:val="28"/>
          <w:szCs w:val="28"/>
        </w:rPr>
        <w:t>衣着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价格同比下降0</w:t>
      </w:r>
      <w:r>
        <w:rPr>
          <w:rFonts w:ascii="Times New Roman" w:hAnsi="Times New Roman" w:eastAsia="方正仿宋_GBK" w:cs="Times New Roman"/>
          <w:sz w:val="28"/>
          <w:szCs w:val="28"/>
        </w:rPr>
        <w:t>.6%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</w:t>
      </w:r>
      <w:r>
        <w:rPr>
          <w:rFonts w:ascii="Times New Roman" w:hAnsi="Times New Roman" w:eastAsia="方正仿宋_GBK" w:cs="Times New Roman"/>
          <w:sz w:val="28"/>
          <w:szCs w:val="28"/>
        </w:rPr>
        <w:t>居住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价格同比下降1</w:t>
      </w:r>
      <w:r>
        <w:rPr>
          <w:rFonts w:ascii="Times New Roman" w:hAnsi="Times New Roman" w:eastAsia="方正仿宋_GBK" w:cs="Times New Roman"/>
          <w:sz w:val="28"/>
          <w:szCs w:val="28"/>
        </w:rPr>
        <w:t>.3%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</w:t>
      </w:r>
      <w:r>
        <w:rPr>
          <w:rFonts w:ascii="Times New Roman" w:hAnsi="Times New Roman" w:eastAsia="方正仿宋_GBK" w:cs="Times New Roman"/>
          <w:sz w:val="28"/>
          <w:szCs w:val="28"/>
        </w:rPr>
        <w:t>生活用品及服务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价格同比持平，</w:t>
      </w:r>
      <w:r>
        <w:rPr>
          <w:rFonts w:ascii="Times New Roman" w:hAnsi="Times New Roman" w:eastAsia="方正仿宋_GBK" w:cs="Times New Roman"/>
          <w:sz w:val="28"/>
          <w:szCs w:val="28"/>
        </w:rPr>
        <w:t>交通通信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价格同比下降3</w:t>
      </w:r>
      <w:r>
        <w:rPr>
          <w:rFonts w:ascii="Times New Roman" w:hAnsi="Times New Roman" w:eastAsia="方正仿宋_GBK" w:cs="Times New Roman"/>
          <w:sz w:val="28"/>
          <w:szCs w:val="28"/>
        </w:rPr>
        <w:t>.5%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</w:t>
      </w:r>
      <w:r>
        <w:rPr>
          <w:rFonts w:ascii="Times New Roman" w:hAnsi="Times New Roman" w:eastAsia="方正仿宋_GBK" w:cs="Times New Roman"/>
          <w:sz w:val="28"/>
          <w:szCs w:val="28"/>
        </w:rPr>
        <w:t>教育文化娱乐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价格同比下降0</w:t>
      </w:r>
      <w:r>
        <w:rPr>
          <w:rFonts w:ascii="Times New Roman" w:hAnsi="Times New Roman" w:eastAsia="方正仿宋_GBK" w:cs="Times New Roman"/>
          <w:sz w:val="28"/>
          <w:szCs w:val="28"/>
        </w:rPr>
        <w:t>.4%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</w:t>
      </w:r>
      <w:r>
        <w:rPr>
          <w:rFonts w:ascii="Times New Roman" w:hAnsi="Times New Roman" w:eastAsia="方正仿宋_GBK" w:cs="Times New Roman"/>
          <w:sz w:val="28"/>
          <w:szCs w:val="28"/>
        </w:rPr>
        <w:t>医疗保健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价格同比上涨4</w:t>
      </w:r>
      <w:r>
        <w:rPr>
          <w:rFonts w:ascii="Times New Roman" w:hAnsi="Times New Roman" w:eastAsia="方正仿宋_GBK" w:cs="Times New Roman"/>
          <w:sz w:val="28"/>
          <w:szCs w:val="28"/>
        </w:rPr>
        <w:t>.1%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</w:t>
      </w:r>
      <w:r>
        <w:rPr>
          <w:rFonts w:ascii="Times New Roman" w:hAnsi="Times New Roman" w:eastAsia="方正仿宋_GBK" w:cs="Times New Roman"/>
          <w:sz w:val="28"/>
          <w:szCs w:val="28"/>
        </w:rPr>
        <w:t>其他用品及服务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价格同比上涨6</w:t>
      </w:r>
      <w:r>
        <w:rPr>
          <w:rFonts w:ascii="Times New Roman" w:hAnsi="Times New Roman" w:eastAsia="方正仿宋_GBK" w:cs="Times New Roman"/>
          <w:sz w:val="28"/>
          <w:szCs w:val="28"/>
        </w:rPr>
        <w:t>.4%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  <w:r>
        <w:rPr>
          <w:rFonts w:ascii="Times New Roman" w:hAnsi="Times New Roman" w:eastAsia="方正仿宋_GBK" w:cs="Times New Roman"/>
          <w:sz w:val="28"/>
          <w:szCs w:val="28"/>
        </w:rPr>
        <w:t>1—11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月，无锡居民消费价格同比上涨</w:t>
      </w:r>
      <w:r>
        <w:rPr>
          <w:rFonts w:ascii="Times New Roman" w:hAnsi="Times New Roman" w:eastAsia="方正仿宋_GBK" w:cs="Times New Roman"/>
          <w:sz w:val="28"/>
          <w:szCs w:val="28"/>
        </w:rPr>
        <w:t>0.5%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sectPr>
      <w:footerReference r:id="rId3" w:type="default"/>
      <w:pgSz w:w="11906" w:h="16838"/>
      <w:pgMar w:top="1920" w:right="1474" w:bottom="1083" w:left="1588" w:header="851" w:footer="765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44830618"/>
      <w:docPartObj>
        <w:docPartGallery w:val="AutoText"/>
      </w:docPartObj>
    </w:sdtPr>
    <w:sdtEndPr>
      <w:rPr>
        <w:sz w:val="24"/>
        <w:szCs w:val="24"/>
      </w:rPr>
    </w:sdtEndPr>
    <w:sdtContent>
      <w:p w14:paraId="1F33BB05">
        <w:pPr>
          <w:pStyle w:val="12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3</w:t>
        </w:r>
        <w:r>
          <w:rPr>
            <w:sz w:val="24"/>
            <w:szCs w:val="24"/>
          </w:rPr>
          <w:fldChar w:fldCharType="end"/>
        </w:r>
      </w:p>
    </w:sdtContent>
  </w:sdt>
  <w:p w14:paraId="63E1EB16">
    <w:pPr>
      <w:pStyle w:val="1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9DA"/>
    <w:rsid w:val="00023C24"/>
    <w:rsid w:val="0005016C"/>
    <w:rsid w:val="000575C7"/>
    <w:rsid w:val="0009086C"/>
    <w:rsid w:val="000A31A7"/>
    <w:rsid w:val="000B3D42"/>
    <w:rsid w:val="000B4945"/>
    <w:rsid w:val="000D26B0"/>
    <w:rsid w:val="00117395"/>
    <w:rsid w:val="001342AA"/>
    <w:rsid w:val="001822B7"/>
    <w:rsid w:val="001A5083"/>
    <w:rsid w:val="001B239D"/>
    <w:rsid w:val="001B7E3E"/>
    <w:rsid w:val="00212730"/>
    <w:rsid w:val="00262710"/>
    <w:rsid w:val="00266BE3"/>
    <w:rsid w:val="00276060"/>
    <w:rsid w:val="00296B64"/>
    <w:rsid w:val="002E5D95"/>
    <w:rsid w:val="00310F78"/>
    <w:rsid w:val="003425D6"/>
    <w:rsid w:val="00345B44"/>
    <w:rsid w:val="0034764A"/>
    <w:rsid w:val="00371DAD"/>
    <w:rsid w:val="003866DF"/>
    <w:rsid w:val="003A22EB"/>
    <w:rsid w:val="003C5B31"/>
    <w:rsid w:val="003F6F32"/>
    <w:rsid w:val="004077F3"/>
    <w:rsid w:val="0043301A"/>
    <w:rsid w:val="00433966"/>
    <w:rsid w:val="00460BC2"/>
    <w:rsid w:val="00482EC2"/>
    <w:rsid w:val="004B2D93"/>
    <w:rsid w:val="004C7584"/>
    <w:rsid w:val="004E0E38"/>
    <w:rsid w:val="004E41E1"/>
    <w:rsid w:val="004F1480"/>
    <w:rsid w:val="004F1A4D"/>
    <w:rsid w:val="005213FF"/>
    <w:rsid w:val="005249C3"/>
    <w:rsid w:val="0053010B"/>
    <w:rsid w:val="00554330"/>
    <w:rsid w:val="005716A4"/>
    <w:rsid w:val="005735C2"/>
    <w:rsid w:val="005745FF"/>
    <w:rsid w:val="00574A88"/>
    <w:rsid w:val="00583DCD"/>
    <w:rsid w:val="00586129"/>
    <w:rsid w:val="00601D77"/>
    <w:rsid w:val="00602999"/>
    <w:rsid w:val="00635D4A"/>
    <w:rsid w:val="00637CF9"/>
    <w:rsid w:val="006525BC"/>
    <w:rsid w:val="00663A7A"/>
    <w:rsid w:val="0067468B"/>
    <w:rsid w:val="00687FFD"/>
    <w:rsid w:val="006C74AB"/>
    <w:rsid w:val="0072453D"/>
    <w:rsid w:val="00794694"/>
    <w:rsid w:val="007D43A9"/>
    <w:rsid w:val="007F1478"/>
    <w:rsid w:val="007F7406"/>
    <w:rsid w:val="0080529B"/>
    <w:rsid w:val="008066C6"/>
    <w:rsid w:val="00815D1B"/>
    <w:rsid w:val="0082434A"/>
    <w:rsid w:val="00827E5B"/>
    <w:rsid w:val="00827F98"/>
    <w:rsid w:val="008300D7"/>
    <w:rsid w:val="00836FBB"/>
    <w:rsid w:val="00840880"/>
    <w:rsid w:val="008A6384"/>
    <w:rsid w:val="008B0133"/>
    <w:rsid w:val="008B33FA"/>
    <w:rsid w:val="008E71E0"/>
    <w:rsid w:val="008F2DDD"/>
    <w:rsid w:val="008F6757"/>
    <w:rsid w:val="009168E7"/>
    <w:rsid w:val="009417DF"/>
    <w:rsid w:val="00957A8B"/>
    <w:rsid w:val="00963B63"/>
    <w:rsid w:val="009711EA"/>
    <w:rsid w:val="00973DD2"/>
    <w:rsid w:val="00977F8D"/>
    <w:rsid w:val="009B4617"/>
    <w:rsid w:val="009B604E"/>
    <w:rsid w:val="009B6201"/>
    <w:rsid w:val="009E0AFE"/>
    <w:rsid w:val="009F2F71"/>
    <w:rsid w:val="009F6324"/>
    <w:rsid w:val="00A05FCA"/>
    <w:rsid w:val="00A23E00"/>
    <w:rsid w:val="00A33567"/>
    <w:rsid w:val="00A63C1C"/>
    <w:rsid w:val="00A8001C"/>
    <w:rsid w:val="00AB0342"/>
    <w:rsid w:val="00AC72DC"/>
    <w:rsid w:val="00AC7F8E"/>
    <w:rsid w:val="00AD717B"/>
    <w:rsid w:val="00B3419A"/>
    <w:rsid w:val="00B36AC1"/>
    <w:rsid w:val="00B374CE"/>
    <w:rsid w:val="00B5422A"/>
    <w:rsid w:val="00B60BC2"/>
    <w:rsid w:val="00BD5F57"/>
    <w:rsid w:val="00BF73C9"/>
    <w:rsid w:val="00C10199"/>
    <w:rsid w:val="00C27EF9"/>
    <w:rsid w:val="00C50BA9"/>
    <w:rsid w:val="00C83C44"/>
    <w:rsid w:val="00C92BB0"/>
    <w:rsid w:val="00CA484E"/>
    <w:rsid w:val="00CC38A8"/>
    <w:rsid w:val="00CE5376"/>
    <w:rsid w:val="00CF19DA"/>
    <w:rsid w:val="00CF755E"/>
    <w:rsid w:val="00D07BFD"/>
    <w:rsid w:val="00D16020"/>
    <w:rsid w:val="00D63465"/>
    <w:rsid w:val="00D77343"/>
    <w:rsid w:val="00D92B70"/>
    <w:rsid w:val="00DC1E94"/>
    <w:rsid w:val="00DE477B"/>
    <w:rsid w:val="00E05EE7"/>
    <w:rsid w:val="00E40646"/>
    <w:rsid w:val="00E53616"/>
    <w:rsid w:val="00E60748"/>
    <w:rsid w:val="00E75EAE"/>
    <w:rsid w:val="00EA3946"/>
    <w:rsid w:val="00EB11E1"/>
    <w:rsid w:val="00EC6214"/>
    <w:rsid w:val="00EE4932"/>
    <w:rsid w:val="00F0280C"/>
    <w:rsid w:val="00F64002"/>
    <w:rsid w:val="00F80F26"/>
    <w:rsid w:val="00FC1E71"/>
    <w:rsid w:val="00FF22A9"/>
    <w:rsid w:val="1C97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38"/>
    <w:semiHidden/>
    <w:unhideWhenUsed/>
    <w:uiPriority w:val="99"/>
    <w:rPr>
      <w:sz w:val="18"/>
      <w:szCs w:val="18"/>
    </w:rPr>
  </w:style>
  <w:style w:type="paragraph" w:styleId="12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3"/>
    <w:uiPriority w:val="99"/>
    <w:rPr>
      <w:sz w:val="18"/>
      <w:szCs w:val="18"/>
    </w:rPr>
  </w:style>
  <w:style w:type="character" w:customStyle="1" w:styleId="37">
    <w:name w:val="页脚 字符"/>
    <w:basedOn w:val="17"/>
    <w:link w:val="12"/>
    <w:qFormat/>
    <w:uiPriority w:val="99"/>
    <w:rPr>
      <w:sz w:val="18"/>
      <w:szCs w:val="18"/>
    </w:rPr>
  </w:style>
  <w:style w:type="character" w:customStyle="1" w:styleId="38">
    <w:name w:val="批注框文本 字符"/>
    <w:basedOn w:val="17"/>
    <w:link w:val="11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Pages>2</Pages>
  <Words>891</Words>
  <Characters>1144</Characters>
  <Lines>8</Lines>
  <Paragraphs>2</Paragraphs>
  <TotalTime>639</TotalTime>
  <ScaleCrop>false</ScaleCrop>
  <LinksUpToDate>false</LinksUpToDate>
  <CharactersWithSpaces>1144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2024-08-18T08:47:00Z</dcterms:created>
  <dc:creator>宏伟 王</dc:creator>
  <cp:lastModifiedBy>若有其事</cp:lastModifiedBy>
  <cp:lastPrinted>2024-08-22T01:11:00Z</cp:lastPrinted>
  <dcterms:modified xsi:type="dcterms:W3CDTF">2024-12-23T09:01:16Z</dcterms:modified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F38BD5AF237C474F99269D570024CF54_12</vt:lpwstr>
  </property>
</Properties>
</file>