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eastAsia="方正小标宋_GBK"/>
          <w:color w:val="000000"/>
          <w:kern w:val="0"/>
          <w:sz w:val="44"/>
          <w:szCs w:val="44"/>
        </w:rPr>
      </w:pPr>
      <w:r>
        <w:rPr>
          <w:rFonts w:hint="eastAsia" w:eastAsia="方正小标宋_GBK"/>
          <w:color w:val="000000"/>
          <w:sz w:val="44"/>
          <w:szCs w:val="44"/>
        </w:rPr>
        <w:t>关于《关于加强全市技工院校规范管理的实施意见（试行）》的政策解读</w:t>
      </w:r>
    </w:p>
    <w:p>
      <w:pPr>
        <w:widowControl/>
        <w:spacing w:line="560" w:lineRule="exact"/>
        <w:jc w:val="center"/>
        <w:rPr>
          <w:rFonts w:eastAsia="方正仿宋_GBK"/>
          <w:color w:val="000000"/>
          <w:kern w:val="0"/>
          <w:sz w:val="32"/>
          <w:szCs w:val="32"/>
        </w:rPr>
      </w:pPr>
    </w:p>
    <w:p>
      <w:pPr>
        <w:widowControl/>
        <w:numPr>
          <w:ilvl w:val="0"/>
          <w:numId w:val="1"/>
        </w:numPr>
        <w:spacing w:line="560" w:lineRule="exact"/>
        <w:ind w:firstLine="630"/>
        <w:jc w:val="left"/>
        <w:rPr>
          <w:rFonts w:eastAsia="方正黑体_GBK"/>
          <w:snapToGrid w:val="0"/>
          <w:color w:val="000000"/>
          <w:sz w:val="32"/>
          <w:szCs w:val="32"/>
        </w:rPr>
      </w:pPr>
      <w:r>
        <w:rPr>
          <w:rFonts w:hint="eastAsia" w:eastAsia="方正黑体_GBK"/>
          <w:snapToGrid w:val="0"/>
          <w:color w:val="000000"/>
          <w:sz w:val="32"/>
          <w:szCs w:val="32"/>
        </w:rPr>
        <w:t>政策背景</w:t>
      </w:r>
    </w:p>
    <w:p>
      <w:pPr>
        <w:widowControl/>
        <w:spacing w:line="560" w:lineRule="exact"/>
        <w:ind w:firstLine="640" w:firstLineChars="200"/>
        <w:rPr>
          <w:rFonts w:hAnsi="方正仿宋_GBK" w:eastAsia="方正仿宋_GBK"/>
          <w:kern w:val="0"/>
          <w:sz w:val="32"/>
          <w:szCs w:val="32"/>
        </w:rPr>
      </w:pPr>
      <w:r>
        <w:rPr>
          <w:rFonts w:hint="eastAsia" w:hAnsi="方正仿宋_GBK" w:eastAsia="方正仿宋_GBK"/>
          <w:kern w:val="0"/>
          <w:sz w:val="32"/>
          <w:szCs w:val="32"/>
        </w:rPr>
        <w:t>为推动无锡市技工院校规范管理和</w:t>
      </w:r>
      <w:r>
        <w:rPr>
          <w:rFonts w:hint="eastAsia" w:hAnsi="方正仿宋_GBK" w:eastAsia="方正仿宋_GBK"/>
          <w:kern w:val="0"/>
          <w:sz w:val="32"/>
          <w:szCs w:val="32"/>
          <w:lang w:eastAsia="zh-CN"/>
        </w:rPr>
        <w:t>高质量</w:t>
      </w:r>
      <w:bookmarkStart w:id="0" w:name="_GoBack"/>
      <w:bookmarkEnd w:id="0"/>
      <w:r>
        <w:rPr>
          <w:rFonts w:hint="eastAsia" w:hAnsi="方正仿宋_GBK" w:eastAsia="方正仿宋_GBK"/>
          <w:kern w:val="0"/>
          <w:sz w:val="32"/>
          <w:szCs w:val="32"/>
        </w:rPr>
        <w:t>发展，为我市经济社会发展提供高素质技能人才支撑，根据《中华人民共和国职业教育法》《中华人民共和国民办教育促进法》《中华人民共和国民办教育促进法实施条例》等相关法律法规和国家、省关于技工教育的政策规定，近日，无锡市人力资源和社会保障局印发了《关于加强全市技工院校规范管理的实施意见（试行）》（锡人社规发〔2024〕1号），进一步规范全市技工院校管理，促进全市技工教育高质量发展。</w:t>
      </w:r>
    </w:p>
    <w:p>
      <w:pPr>
        <w:widowControl/>
        <w:spacing w:line="560" w:lineRule="exact"/>
        <w:ind w:firstLine="630"/>
        <w:jc w:val="left"/>
        <w:rPr>
          <w:rFonts w:eastAsia="方正黑体_GBK"/>
          <w:snapToGrid w:val="0"/>
          <w:color w:val="000000"/>
          <w:sz w:val="32"/>
          <w:szCs w:val="32"/>
        </w:rPr>
      </w:pPr>
      <w:r>
        <w:rPr>
          <w:rFonts w:hint="eastAsia" w:eastAsia="方正黑体_GBK"/>
          <w:snapToGrid w:val="0"/>
          <w:color w:val="000000"/>
          <w:sz w:val="32"/>
          <w:szCs w:val="32"/>
        </w:rPr>
        <w:t>二、政策内容</w:t>
      </w:r>
    </w:p>
    <w:p>
      <w:pPr>
        <w:pStyle w:val="7"/>
        <w:widowControl/>
        <w:spacing w:before="0" w:beforeAutospacing="0" w:after="0" w:afterAutospacing="0" w:line="560" w:lineRule="exact"/>
        <w:ind w:firstLine="640" w:firstLineChars="200"/>
        <w:rPr>
          <w:rFonts w:hAnsi="方正仿宋_GBK" w:eastAsia="方正仿宋_GBK"/>
          <w:sz w:val="32"/>
          <w:szCs w:val="32"/>
        </w:rPr>
      </w:pPr>
      <w:r>
        <w:rPr>
          <w:rFonts w:hint="eastAsia" w:hAnsi="方正仿宋_GBK" w:eastAsia="方正仿宋_GBK"/>
          <w:sz w:val="32"/>
          <w:szCs w:val="32"/>
        </w:rPr>
        <w:t>《关于加强全市技工院校规范管理的实施意见（试行）》主要</w:t>
      </w:r>
      <w:r>
        <w:rPr>
          <w:rFonts w:hAnsi="方正仿宋_GBK" w:eastAsia="方正仿宋_GBK"/>
          <w:sz w:val="32"/>
          <w:szCs w:val="32"/>
        </w:rPr>
        <w:t>根据《中华人民共和国职业教育法》《中华人民共和国民办教育促进法》</w:t>
      </w:r>
      <w:r>
        <w:rPr>
          <w:rFonts w:hint="eastAsia" w:hAnsi="方正仿宋_GBK" w:eastAsia="方正仿宋_GBK"/>
          <w:sz w:val="32"/>
          <w:szCs w:val="32"/>
        </w:rPr>
        <w:t>《中华人民共和国民办教育促进法实施条例》</w:t>
      </w:r>
      <w:r>
        <w:rPr>
          <w:rFonts w:hAnsi="方正仿宋_GBK" w:eastAsia="方正仿宋_GBK"/>
          <w:sz w:val="32"/>
          <w:szCs w:val="32"/>
        </w:rPr>
        <w:t>等相关法律法规和国家、省</w:t>
      </w:r>
      <w:r>
        <w:rPr>
          <w:rFonts w:hint="eastAsia" w:hAnsi="方正仿宋_GBK" w:eastAsia="方正仿宋_GBK"/>
          <w:sz w:val="32"/>
          <w:szCs w:val="32"/>
        </w:rPr>
        <w:t>关于</w:t>
      </w:r>
      <w:r>
        <w:rPr>
          <w:rFonts w:hAnsi="方正仿宋_GBK" w:eastAsia="方正仿宋_GBK"/>
          <w:sz w:val="32"/>
          <w:szCs w:val="32"/>
        </w:rPr>
        <w:t>技工教育</w:t>
      </w:r>
      <w:r>
        <w:rPr>
          <w:rFonts w:hint="eastAsia" w:hAnsi="方正仿宋_GBK" w:eastAsia="方正仿宋_GBK"/>
          <w:sz w:val="32"/>
          <w:szCs w:val="32"/>
        </w:rPr>
        <w:t>的政策规定，对我市技工院校管理体系、内部管理、招生管理、师资建设、教学管理、社会化技能培训评价、财务管理、学籍管理、资助管理、评估督导等10个方面提出加强管理的17条工作举措。</w:t>
      </w:r>
    </w:p>
    <w:p>
      <w:pPr>
        <w:pStyle w:val="7"/>
        <w:widowControl/>
        <w:spacing w:before="0" w:beforeAutospacing="0" w:after="0" w:afterAutospacing="0" w:line="560" w:lineRule="exact"/>
        <w:ind w:firstLine="640" w:firstLineChars="200"/>
        <w:jc w:val="both"/>
        <w:rPr>
          <w:rFonts w:hAnsi="方正仿宋_GBK" w:eastAsia="方正仿宋_GBK"/>
          <w:sz w:val="32"/>
          <w:szCs w:val="32"/>
        </w:rPr>
      </w:pPr>
      <w:r>
        <w:rPr>
          <w:rFonts w:hint="eastAsia" w:eastAsia="方正仿宋_GBK"/>
          <w:color w:val="000000"/>
          <w:sz w:val="32"/>
          <w:szCs w:val="32"/>
        </w:rPr>
        <w:t>（一）在健全技工院校管理体系方面，明确</w:t>
      </w:r>
      <w:r>
        <w:rPr>
          <w:rFonts w:hint="eastAsia" w:eastAsia="方正仿宋_GBK"/>
          <w:sz w:val="32"/>
          <w:szCs w:val="32"/>
        </w:rPr>
        <w:t>各级人社部门要</w:t>
      </w:r>
      <w:r>
        <w:rPr>
          <w:rFonts w:eastAsia="方正仿宋_GBK"/>
          <w:sz w:val="32"/>
          <w:szCs w:val="32"/>
        </w:rPr>
        <w:t>强化与</w:t>
      </w:r>
      <w:r>
        <w:rPr>
          <w:rFonts w:hint="eastAsia" w:eastAsia="方正仿宋_GBK"/>
          <w:sz w:val="32"/>
          <w:szCs w:val="32"/>
        </w:rPr>
        <w:t>相关</w:t>
      </w:r>
      <w:r>
        <w:rPr>
          <w:rFonts w:eastAsia="方正仿宋_GBK"/>
          <w:sz w:val="32"/>
          <w:szCs w:val="32"/>
        </w:rPr>
        <w:t>部门的联动</w:t>
      </w:r>
      <w:r>
        <w:rPr>
          <w:rFonts w:hint="eastAsia" w:eastAsia="方正仿宋_GBK"/>
          <w:sz w:val="32"/>
          <w:szCs w:val="32"/>
        </w:rPr>
        <w:t>，通过</w:t>
      </w:r>
      <w:r>
        <w:rPr>
          <w:rFonts w:hint="eastAsia" w:hAnsi="方正仿宋_GBK" w:eastAsia="方正仿宋_GBK"/>
          <w:sz w:val="32"/>
          <w:szCs w:val="32"/>
        </w:rPr>
        <w:t>对辖区技工院校开展专项检查和不定期抽查，掌握各校办学基础能力情况、规范办学情况、安全风险隐患情况、职业技能培训评价情况等，督促其落实问题整改；探索</w:t>
      </w:r>
      <w:r>
        <w:rPr>
          <w:rFonts w:hAnsi="方正仿宋_GBK" w:eastAsia="方正仿宋_GBK"/>
          <w:sz w:val="32"/>
          <w:szCs w:val="32"/>
        </w:rPr>
        <w:t>由属地人社部门牵头，在</w:t>
      </w:r>
      <w:r>
        <w:rPr>
          <w:rFonts w:hint="eastAsia" w:hAnsi="方正仿宋_GBK" w:eastAsia="方正仿宋_GBK"/>
          <w:sz w:val="32"/>
          <w:szCs w:val="32"/>
        </w:rPr>
        <w:t>民办技工院校设立包括教职工代表、家长代表、属地街道在内的监督机构，对学校办学行为进行监督；明确</w:t>
      </w:r>
      <w:r>
        <w:rPr>
          <w:rFonts w:hAnsi="方正仿宋_GBK" w:eastAsia="方正仿宋_GBK"/>
          <w:sz w:val="32"/>
          <w:szCs w:val="32"/>
        </w:rPr>
        <w:t>技工院校要主动接受所在市（县）、区政府</w:t>
      </w:r>
      <w:r>
        <w:rPr>
          <w:rFonts w:hint="eastAsia" w:hAnsi="方正仿宋_GBK" w:eastAsia="方正仿宋_GBK"/>
          <w:sz w:val="32"/>
          <w:szCs w:val="32"/>
        </w:rPr>
        <w:t>及相应职能部门的</w:t>
      </w:r>
      <w:r>
        <w:rPr>
          <w:rFonts w:hAnsi="方正仿宋_GBK" w:eastAsia="方正仿宋_GBK"/>
          <w:sz w:val="32"/>
          <w:szCs w:val="32"/>
        </w:rPr>
        <w:t>指导、监督</w:t>
      </w:r>
      <w:r>
        <w:rPr>
          <w:rFonts w:hint="eastAsia" w:hAnsi="方正仿宋_GBK" w:eastAsia="方正仿宋_GBK"/>
          <w:sz w:val="32"/>
          <w:szCs w:val="32"/>
        </w:rPr>
        <w:t>；对技工院校出现重大问题的，要形成跨部门联席会商机制，提高问题处置的针对性。</w:t>
      </w:r>
    </w:p>
    <w:p>
      <w:pPr>
        <w:pStyle w:val="7"/>
        <w:widowControl/>
        <w:spacing w:before="0" w:beforeAutospacing="0" w:after="0" w:afterAutospacing="0" w:line="560" w:lineRule="exact"/>
        <w:ind w:firstLine="640" w:firstLineChars="200"/>
        <w:jc w:val="both"/>
        <w:rPr>
          <w:rFonts w:hAnsi="方正仿宋_GBK" w:eastAsia="方正仿宋_GBK"/>
          <w:sz w:val="32"/>
          <w:szCs w:val="32"/>
        </w:rPr>
      </w:pPr>
      <w:r>
        <w:rPr>
          <w:rFonts w:hint="eastAsia" w:hAnsi="方正仿宋_GBK" w:eastAsia="方正仿宋_GBK"/>
          <w:sz w:val="32"/>
          <w:szCs w:val="32"/>
        </w:rPr>
        <w:t>（二）在规范技工院校内部管理方面，强调</w:t>
      </w:r>
      <w:r>
        <w:rPr>
          <w:rFonts w:hAnsi="方正仿宋_GBK" w:eastAsia="方正仿宋_GBK"/>
          <w:sz w:val="32"/>
          <w:szCs w:val="32"/>
        </w:rPr>
        <w:t>充分发挥技工院校党组织在保证政治方向、推动学校发展、维护安全稳定、参与人事管理和服务等</w:t>
      </w:r>
      <w:r>
        <w:rPr>
          <w:rFonts w:hint="eastAsia" w:hAnsi="方正仿宋_GBK" w:eastAsia="方正仿宋_GBK"/>
          <w:sz w:val="32"/>
          <w:szCs w:val="32"/>
        </w:rPr>
        <w:t>重大决策</w:t>
      </w:r>
      <w:r>
        <w:rPr>
          <w:rFonts w:hAnsi="方正仿宋_GBK" w:eastAsia="方正仿宋_GBK"/>
          <w:sz w:val="32"/>
          <w:szCs w:val="32"/>
        </w:rPr>
        <w:t>方面的核心作用，全面加强党</w:t>
      </w:r>
      <w:r>
        <w:rPr>
          <w:rFonts w:hint="eastAsia" w:hAnsi="方正仿宋_GBK" w:eastAsia="方正仿宋_GBK"/>
          <w:sz w:val="32"/>
          <w:szCs w:val="32"/>
        </w:rPr>
        <w:t>对学校工作</w:t>
      </w:r>
      <w:r>
        <w:rPr>
          <w:rFonts w:hAnsi="方正仿宋_GBK" w:eastAsia="方正仿宋_GBK"/>
          <w:sz w:val="32"/>
          <w:szCs w:val="32"/>
        </w:rPr>
        <w:t>的领导</w:t>
      </w:r>
      <w:r>
        <w:rPr>
          <w:rFonts w:hint="eastAsia" w:hAnsi="方正仿宋_GBK" w:eastAsia="方正仿宋_GBK"/>
          <w:sz w:val="32"/>
          <w:szCs w:val="32"/>
        </w:rPr>
        <w:t>。健全技工院校内部管理制度，以制度建设保障规范办学和健康运行。明确民办技工院校要依法</w:t>
      </w:r>
      <w:r>
        <w:rPr>
          <w:rFonts w:hAnsi="方正仿宋_GBK" w:eastAsia="方正仿宋_GBK"/>
          <w:sz w:val="32"/>
          <w:szCs w:val="32"/>
        </w:rPr>
        <w:t>依规</w:t>
      </w:r>
      <w:r>
        <w:rPr>
          <w:rFonts w:hint="eastAsia" w:hAnsi="方正仿宋_GBK" w:eastAsia="方正仿宋_GBK"/>
          <w:sz w:val="32"/>
          <w:szCs w:val="32"/>
        </w:rPr>
        <w:t>制定章程，</w:t>
      </w:r>
      <w:r>
        <w:rPr>
          <w:rFonts w:hint="eastAsia" w:eastAsia="方正仿宋_GBK"/>
          <w:sz w:val="32"/>
          <w:szCs w:val="32"/>
        </w:rPr>
        <w:t>按规定做好民办职业培训机构办学能力和诚信评估、</w:t>
      </w:r>
      <w:r>
        <w:rPr>
          <w:rFonts w:hint="eastAsia" w:hAnsi="方正仿宋_GBK" w:eastAsia="方正仿宋_GBK"/>
          <w:sz w:val="32"/>
          <w:szCs w:val="32"/>
        </w:rPr>
        <w:t>民办非企业单位登记管理以及年度检查等工作。</w:t>
      </w:r>
    </w:p>
    <w:p>
      <w:pPr>
        <w:pStyle w:val="7"/>
        <w:widowControl/>
        <w:spacing w:before="0" w:beforeAutospacing="0" w:after="0" w:afterAutospacing="0" w:line="560" w:lineRule="exact"/>
        <w:ind w:firstLine="640" w:firstLineChars="200"/>
        <w:jc w:val="both"/>
        <w:rPr>
          <w:rFonts w:hAnsi="方正仿宋_GBK" w:eastAsia="方正仿宋_GBK"/>
          <w:sz w:val="32"/>
          <w:szCs w:val="32"/>
        </w:rPr>
      </w:pPr>
      <w:r>
        <w:rPr>
          <w:rFonts w:hint="eastAsia" w:hAnsi="方正仿宋_GBK" w:eastAsia="方正仿宋_GBK"/>
          <w:sz w:val="32"/>
          <w:szCs w:val="32"/>
        </w:rPr>
        <w:t>（三）在规范技工院校招生工作方面，实施</w:t>
      </w:r>
      <w:r>
        <w:rPr>
          <w:rFonts w:hAnsi="方正仿宋_GBK" w:eastAsia="方正仿宋_GBK"/>
          <w:sz w:val="32"/>
          <w:szCs w:val="32"/>
        </w:rPr>
        <w:t>技工院校招生</w:t>
      </w:r>
      <w:r>
        <w:rPr>
          <w:rFonts w:hint="eastAsia" w:hAnsi="方正仿宋_GBK" w:eastAsia="方正仿宋_GBK"/>
          <w:sz w:val="32"/>
          <w:szCs w:val="32"/>
        </w:rPr>
        <w:t>资质</w:t>
      </w:r>
      <w:r>
        <w:rPr>
          <w:rFonts w:hAnsi="方正仿宋_GBK" w:eastAsia="方正仿宋_GBK"/>
          <w:sz w:val="32"/>
          <w:szCs w:val="32"/>
        </w:rPr>
        <w:t>发布制度</w:t>
      </w:r>
      <w:r>
        <w:rPr>
          <w:rFonts w:hint="eastAsia" w:hAnsi="方正仿宋_GBK" w:eastAsia="方正仿宋_GBK"/>
          <w:sz w:val="32"/>
          <w:szCs w:val="32"/>
        </w:rPr>
        <w:t>，</w:t>
      </w:r>
      <w:r>
        <w:rPr>
          <w:rFonts w:hAnsi="方正仿宋_GBK" w:eastAsia="方正仿宋_GBK"/>
          <w:sz w:val="32"/>
          <w:szCs w:val="32"/>
        </w:rPr>
        <w:t>市</w:t>
      </w:r>
      <w:r>
        <w:rPr>
          <w:rFonts w:hint="eastAsia" w:hAnsi="方正仿宋_GBK" w:eastAsia="方正仿宋_GBK"/>
          <w:sz w:val="32"/>
          <w:szCs w:val="32"/>
        </w:rPr>
        <w:t>人社部门每年对全市技工院校主要办学条件进行核查，结合年度办学督导评估结果，确定年度</w:t>
      </w:r>
      <w:r>
        <w:rPr>
          <w:rFonts w:hAnsi="方正仿宋_GBK" w:eastAsia="方正仿宋_GBK"/>
          <w:sz w:val="32"/>
          <w:szCs w:val="32"/>
        </w:rPr>
        <w:t>学校</w:t>
      </w:r>
      <w:r>
        <w:rPr>
          <w:rFonts w:hint="eastAsia" w:hAnsi="方正仿宋_GBK" w:eastAsia="方正仿宋_GBK"/>
          <w:sz w:val="32"/>
          <w:szCs w:val="32"/>
        </w:rPr>
        <w:t>招生资质及合理办学规模</w:t>
      </w:r>
      <w:r>
        <w:rPr>
          <w:rFonts w:hint="eastAsia" w:hAnsi="方正仿宋_GBK" w:eastAsia="方正仿宋_GBK"/>
          <w:sz w:val="32"/>
          <w:szCs w:val="32"/>
          <w:lang w:eastAsia="zh-CN"/>
        </w:rPr>
        <w:t>，</w:t>
      </w:r>
      <w:r>
        <w:rPr>
          <w:rFonts w:hint="eastAsia" w:hAnsi="方正仿宋_GBK" w:eastAsia="方正仿宋_GBK"/>
          <w:sz w:val="32"/>
          <w:szCs w:val="32"/>
        </w:rPr>
        <w:t>不具备招生资质的学校不得开展招生；</w:t>
      </w:r>
      <w:r>
        <w:rPr>
          <w:rFonts w:hint="eastAsia" w:hAnsi="方正仿宋_GBK" w:eastAsia="方正仿宋_GBK"/>
          <w:sz w:val="32"/>
          <w:szCs w:val="32"/>
          <w:lang w:eastAsia="zh-CN"/>
        </w:rPr>
        <w:t>对</w:t>
      </w:r>
      <w:r>
        <w:rPr>
          <w:rFonts w:hint="eastAsia" w:hAnsi="方正仿宋_GBK" w:eastAsia="方正仿宋_GBK"/>
          <w:sz w:val="32"/>
          <w:szCs w:val="32"/>
        </w:rPr>
        <w:t>存在严重违规行为的学校，责令其限期整改，并</w:t>
      </w:r>
      <w:r>
        <w:rPr>
          <w:rFonts w:hAnsi="方正仿宋_GBK" w:eastAsia="方正仿宋_GBK"/>
          <w:sz w:val="32"/>
          <w:szCs w:val="32"/>
        </w:rPr>
        <w:t>视情</w:t>
      </w:r>
      <w:r>
        <w:rPr>
          <w:rFonts w:hint="eastAsia" w:hAnsi="方正仿宋_GBK" w:eastAsia="方正仿宋_GBK"/>
          <w:sz w:val="32"/>
          <w:szCs w:val="32"/>
        </w:rPr>
        <w:t>削减招生计划或取消招生资质。严肃招生工作纪律，严禁计划外招生或超计划招生，各学校当年招生简章、收费标准、办学地址等未经市人社部门审核确认的，不得自行向社会宣传发布。</w:t>
      </w:r>
    </w:p>
    <w:p>
      <w:pPr>
        <w:pStyle w:val="7"/>
        <w:widowControl/>
        <w:spacing w:before="0" w:beforeAutospacing="0" w:after="0" w:afterAutospacing="0" w:line="560" w:lineRule="exact"/>
        <w:ind w:firstLine="640" w:firstLineChars="200"/>
        <w:jc w:val="both"/>
        <w:rPr>
          <w:rFonts w:hAnsi="方正仿宋_GBK" w:eastAsia="方正仿宋_GBK"/>
          <w:sz w:val="32"/>
          <w:szCs w:val="32"/>
        </w:rPr>
      </w:pPr>
      <w:r>
        <w:rPr>
          <w:rFonts w:hint="eastAsia" w:hAnsi="方正仿宋_GBK" w:eastAsia="方正仿宋_GBK"/>
          <w:sz w:val="32"/>
          <w:szCs w:val="32"/>
        </w:rPr>
        <w:t>（四）在规范技工院校师资建设方面，要求技工院校</w:t>
      </w:r>
      <w:r>
        <w:rPr>
          <w:rFonts w:hAnsi="方正仿宋_GBK" w:eastAsia="方正仿宋_GBK"/>
          <w:sz w:val="32"/>
          <w:szCs w:val="32"/>
        </w:rPr>
        <w:t>建立与办学层次、办学规模、专业建设发展相适应的专兼职教师队伍，</w:t>
      </w:r>
      <w:r>
        <w:rPr>
          <w:rFonts w:hint="eastAsia" w:hAnsi="方正仿宋_GBK" w:eastAsia="方正仿宋_GBK"/>
          <w:sz w:val="32"/>
          <w:szCs w:val="32"/>
        </w:rPr>
        <w:t>明确技工院校师资配备（包括师生比、师资结构、师资条件等）以及师资内涵建设的相关指标和要求。</w:t>
      </w:r>
    </w:p>
    <w:p>
      <w:pPr>
        <w:pStyle w:val="7"/>
        <w:widowControl/>
        <w:spacing w:before="0" w:beforeAutospacing="0" w:after="0" w:afterAutospacing="0" w:line="560" w:lineRule="exact"/>
        <w:ind w:firstLine="640" w:firstLineChars="200"/>
        <w:jc w:val="both"/>
        <w:rPr>
          <w:rFonts w:hAnsi="方正仿宋_GBK" w:eastAsia="方正仿宋_GBK"/>
          <w:sz w:val="32"/>
          <w:szCs w:val="32"/>
        </w:rPr>
      </w:pPr>
      <w:r>
        <w:rPr>
          <w:rFonts w:hint="eastAsia" w:hAnsi="方正仿宋_GBK" w:eastAsia="方正仿宋_GBK"/>
          <w:sz w:val="32"/>
          <w:szCs w:val="32"/>
        </w:rPr>
        <w:t>（五）在规范技工院校教学管理方面，明确优化专业结构、开设新专业、落实教学管理规范、加强实习管理等的要求，鼓励建设一批专业群、重点专业、特色专业和精品课程，全面推进工学一体化教学改革。各技工学校应科学规范编制并严格落实经人社部门核定的人才培养方案和教学大纲，遵守认识实习和岗位实习的时间和期限、学生年龄、实习安排、实习保险等有关规定，</w:t>
      </w:r>
      <w:r>
        <w:rPr>
          <w:rFonts w:hAnsi="方正仿宋_GBK" w:eastAsia="方正仿宋_GBK"/>
          <w:sz w:val="32"/>
          <w:szCs w:val="32"/>
        </w:rPr>
        <w:t>技工院校与合作企业、实习学生签订三方协议</w:t>
      </w:r>
      <w:r>
        <w:rPr>
          <w:rFonts w:hint="eastAsia" w:hAnsi="方正仿宋_GBK" w:eastAsia="方正仿宋_GBK"/>
          <w:sz w:val="32"/>
          <w:szCs w:val="32"/>
        </w:rPr>
        <w:t>并</w:t>
      </w:r>
      <w:r>
        <w:rPr>
          <w:rFonts w:hAnsi="方正仿宋_GBK" w:eastAsia="方正仿宋_GBK"/>
          <w:sz w:val="32"/>
          <w:szCs w:val="32"/>
        </w:rPr>
        <w:t>明确各方的责任、权利和义务，依法保障学生合法权利</w:t>
      </w:r>
      <w:r>
        <w:rPr>
          <w:rFonts w:hint="eastAsia" w:hAnsi="方正仿宋_GBK" w:eastAsia="方正仿宋_GBK"/>
          <w:sz w:val="32"/>
          <w:szCs w:val="32"/>
        </w:rPr>
        <w:t>。</w:t>
      </w:r>
    </w:p>
    <w:p>
      <w:pPr>
        <w:pStyle w:val="7"/>
        <w:widowControl/>
        <w:spacing w:before="0" w:beforeAutospacing="0" w:after="0" w:afterAutospacing="0" w:line="560" w:lineRule="exact"/>
        <w:ind w:firstLine="640" w:firstLineChars="200"/>
        <w:jc w:val="both"/>
        <w:rPr>
          <w:rFonts w:hAnsi="方正仿宋_GBK" w:eastAsia="方正仿宋_GBK"/>
          <w:sz w:val="32"/>
          <w:szCs w:val="32"/>
        </w:rPr>
      </w:pPr>
      <w:r>
        <w:rPr>
          <w:rFonts w:hint="eastAsia" w:hAnsi="方正仿宋_GBK" w:eastAsia="方正仿宋_GBK"/>
          <w:sz w:val="32"/>
          <w:szCs w:val="32"/>
        </w:rPr>
        <w:t>（六）在规范技工院校培训评价活动方面，明确要优化职业技能等级认定机构备案管理，技工学校经备案后</w:t>
      </w:r>
      <w:r>
        <w:rPr>
          <w:rFonts w:hAnsi="方正仿宋_GBK" w:eastAsia="方正仿宋_GBK"/>
          <w:sz w:val="32"/>
          <w:szCs w:val="32"/>
        </w:rPr>
        <w:t>可</w:t>
      </w:r>
      <w:r>
        <w:rPr>
          <w:rFonts w:hint="eastAsia" w:hAnsi="方正仿宋_GBK" w:eastAsia="方正仿宋_GBK"/>
          <w:sz w:val="32"/>
          <w:szCs w:val="32"/>
        </w:rPr>
        <w:t>面向本校学生开展技能等级认定，省重点以上技工学校和高级技工学校、技师学院可面向社会开展技能等级认定，同一职业（工种）</w:t>
      </w:r>
      <w:r>
        <w:rPr>
          <w:rFonts w:hAnsi="方正仿宋_GBK" w:eastAsia="方正仿宋_GBK"/>
          <w:sz w:val="32"/>
          <w:szCs w:val="32"/>
        </w:rPr>
        <w:t>逐步</w:t>
      </w:r>
      <w:r>
        <w:rPr>
          <w:rFonts w:hint="eastAsia" w:hAnsi="方正仿宋_GBK" w:eastAsia="方正仿宋_GBK"/>
          <w:sz w:val="32"/>
          <w:szCs w:val="32"/>
        </w:rPr>
        <w:t>调整</w:t>
      </w:r>
      <w:r>
        <w:rPr>
          <w:rFonts w:hAnsi="方正仿宋_GBK" w:eastAsia="方正仿宋_GBK"/>
          <w:sz w:val="32"/>
          <w:szCs w:val="32"/>
        </w:rPr>
        <w:t>至</w:t>
      </w:r>
      <w:r>
        <w:rPr>
          <w:rFonts w:hint="eastAsia" w:hAnsi="方正仿宋_GBK" w:eastAsia="方正仿宋_GBK"/>
          <w:sz w:val="32"/>
          <w:szCs w:val="32"/>
        </w:rPr>
        <w:t>只备案</w:t>
      </w:r>
      <w:r>
        <w:rPr>
          <w:rFonts w:hAnsi="方正仿宋_GBK" w:eastAsia="方正仿宋_GBK"/>
          <w:sz w:val="32"/>
          <w:szCs w:val="32"/>
        </w:rPr>
        <w:t>2-3</w:t>
      </w:r>
      <w:r>
        <w:rPr>
          <w:rFonts w:hint="eastAsia" w:hAnsi="方正仿宋_GBK" w:eastAsia="方正仿宋_GBK"/>
          <w:sz w:val="32"/>
          <w:szCs w:val="32"/>
        </w:rPr>
        <w:t>所技工院校，符合条件的专业推广实施鉴定式技能竞赛，探索理论知识考核统考化、信息化，提高人才培养评价质量。</w:t>
      </w:r>
    </w:p>
    <w:p>
      <w:pPr>
        <w:pStyle w:val="7"/>
        <w:widowControl/>
        <w:spacing w:before="0" w:beforeAutospacing="0" w:after="0" w:afterAutospacing="0" w:line="560" w:lineRule="exact"/>
        <w:ind w:firstLine="640" w:firstLineChars="200"/>
        <w:jc w:val="both"/>
        <w:rPr>
          <w:rFonts w:hAnsi="方正仿宋_GBK" w:eastAsia="方正仿宋_GBK"/>
          <w:sz w:val="32"/>
          <w:szCs w:val="32"/>
        </w:rPr>
      </w:pPr>
      <w:r>
        <w:rPr>
          <w:rFonts w:hint="eastAsia" w:hAnsi="方正仿宋_GBK" w:eastAsia="方正仿宋_GBK"/>
          <w:sz w:val="32"/>
          <w:szCs w:val="32"/>
        </w:rPr>
        <w:t>（七）在规范技工院校财务管理方面，明确</w:t>
      </w:r>
      <w:r>
        <w:rPr>
          <w:rFonts w:hAnsi="方正仿宋_GBK" w:eastAsia="方正仿宋_GBK"/>
          <w:color w:val="000000" w:themeColor="text1"/>
          <w:sz w:val="32"/>
          <w:szCs w:val="32"/>
        </w:rPr>
        <w:t>民办技工院校</w:t>
      </w:r>
      <w:r>
        <w:rPr>
          <w:rFonts w:hint="eastAsia" w:hAnsi="方正仿宋_GBK" w:eastAsia="方正仿宋_GBK"/>
          <w:color w:val="000000" w:themeColor="text1"/>
          <w:sz w:val="32"/>
          <w:szCs w:val="32"/>
        </w:rPr>
        <w:t>应根据办学成本、市场需求等因素</w:t>
      </w:r>
      <w:r>
        <w:rPr>
          <w:rFonts w:hAnsi="方正仿宋_GBK" w:eastAsia="方正仿宋_GBK"/>
          <w:color w:val="000000" w:themeColor="text1"/>
          <w:sz w:val="32"/>
          <w:szCs w:val="32"/>
        </w:rPr>
        <w:t>合理</w:t>
      </w:r>
      <w:r>
        <w:rPr>
          <w:rFonts w:hint="eastAsia" w:hAnsi="方正仿宋_GBK" w:eastAsia="方正仿宋_GBK"/>
          <w:color w:val="000000" w:themeColor="text1"/>
          <w:sz w:val="32"/>
          <w:szCs w:val="32"/>
        </w:rPr>
        <w:t>确</w:t>
      </w:r>
      <w:r>
        <w:rPr>
          <w:rFonts w:hAnsi="方正仿宋_GBK" w:eastAsia="方正仿宋_GBK"/>
          <w:color w:val="000000" w:themeColor="text1"/>
          <w:sz w:val="32"/>
          <w:szCs w:val="32"/>
        </w:rPr>
        <w:t>定学费和住宿费标准</w:t>
      </w:r>
      <w:r>
        <w:rPr>
          <w:rFonts w:hint="eastAsia" w:hAnsi="方正仿宋_GBK" w:eastAsia="方正仿宋_GBK"/>
          <w:color w:val="000000" w:themeColor="text1"/>
          <w:sz w:val="32"/>
          <w:szCs w:val="32"/>
        </w:rPr>
        <w:t>，</w:t>
      </w:r>
      <w:r>
        <w:rPr>
          <w:rFonts w:hint="eastAsia" w:hAnsi="方正仿宋_GBK" w:eastAsia="方正仿宋_GBK"/>
          <w:sz w:val="32"/>
          <w:szCs w:val="32"/>
        </w:rPr>
        <w:t>不得在报备的收费项目和标准之外另行加收费用，学生在读期间学费不得提高。技工院校应具有与培养规模相适应的稳定可靠的办学经费保障，设立专门账户管理办学经费，</w:t>
      </w:r>
      <w:r>
        <w:rPr>
          <w:rFonts w:hAnsi="方正仿宋_GBK" w:eastAsia="方正仿宋_GBK"/>
          <w:sz w:val="32"/>
          <w:szCs w:val="32"/>
        </w:rPr>
        <w:t>民办技工院校每年须委托第三方机构进行财务审计，审计报告应报市</w:t>
      </w:r>
      <w:r>
        <w:rPr>
          <w:rFonts w:hint="eastAsia" w:hAnsi="方正仿宋_GBK" w:eastAsia="方正仿宋_GBK"/>
          <w:sz w:val="32"/>
          <w:szCs w:val="32"/>
        </w:rPr>
        <w:t>民政、</w:t>
      </w:r>
      <w:r>
        <w:rPr>
          <w:rFonts w:hAnsi="方正仿宋_GBK" w:eastAsia="方正仿宋_GBK"/>
          <w:sz w:val="32"/>
          <w:szCs w:val="32"/>
        </w:rPr>
        <w:t>人社部门。</w:t>
      </w:r>
    </w:p>
    <w:p>
      <w:pPr>
        <w:pStyle w:val="7"/>
        <w:widowControl/>
        <w:spacing w:before="0" w:beforeAutospacing="0" w:after="0" w:afterAutospacing="0" w:line="560" w:lineRule="exact"/>
        <w:ind w:firstLine="640" w:firstLineChars="200"/>
        <w:jc w:val="both"/>
        <w:rPr>
          <w:rFonts w:hAnsi="方正仿宋_GBK" w:eastAsia="方正仿宋_GBK"/>
          <w:sz w:val="32"/>
          <w:szCs w:val="32"/>
        </w:rPr>
      </w:pPr>
      <w:r>
        <w:rPr>
          <w:rFonts w:hint="eastAsia" w:hAnsi="方正仿宋_GBK" w:eastAsia="方正仿宋_GBK"/>
          <w:sz w:val="32"/>
          <w:szCs w:val="32"/>
        </w:rPr>
        <w:t>（八）在规范技工院校学籍管理方面，明确要求</w:t>
      </w:r>
      <w:r>
        <w:rPr>
          <w:rFonts w:hAnsi="方正仿宋_GBK" w:eastAsia="方正仿宋_GBK"/>
          <w:sz w:val="32"/>
          <w:szCs w:val="32"/>
        </w:rPr>
        <w:t>规范使用“全国技工院校电子注册统计管理信息系统”，</w:t>
      </w:r>
      <w:r>
        <w:rPr>
          <w:rFonts w:hint="eastAsia" w:hAnsi="方正仿宋_GBK" w:eastAsia="方正仿宋_GBK"/>
          <w:sz w:val="32"/>
          <w:szCs w:val="32"/>
        </w:rPr>
        <w:t>加强学籍注册、异动管理、资助经费申领等方面的比对互查，强调学籍异动办理的时限要求，</w:t>
      </w:r>
      <w:r>
        <w:rPr>
          <w:rFonts w:hAnsi="方正仿宋_GBK" w:eastAsia="方正仿宋_GBK"/>
          <w:sz w:val="32"/>
          <w:szCs w:val="32"/>
        </w:rPr>
        <w:t>确保学籍</w:t>
      </w:r>
      <w:r>
        <w:rPr>
          <w:rFonts w:hint="eastAsia" w:hAnsi="方正仿宋_GBK" w:eastAsia="方正仿宋_GBK"/>
          <w:sz w:val="32"/>
          <w:szCs w:val="32"/>
        </w:rPr>
        <w:t>信息</w:t>
      </w:r>
      <w:r>
        <w:rPr>
          <w:rFonts w:hAnsi="方正仿宋_GBK" w:eastAsia="方正仿宋_GBK"/>
          <w:sz w:val="32"/>
          <w:szCs w:val="32"/>
        </w:rPr>
        <w:t>的真实性和完整性。</w:t>
      </w:r>
    </w:p>
    <w:p>
      <w:pPr>
        <w:pStyle w:val="7"/>
        <w:widowControl/>
        <w:spacing w:before="0" w:beforeAutospacing="0" w:after="0" w:afterAutospacing="0" w:line="560" w:lineRule="exact"/>
        <w:ind w:firstLine="640" w:firstLineChars="200"/>
        <w:jc w:val="both"/>
        <w:rPr>
          <w:rFonts w:hAnsi="方正仿宋_GBK" w:eastAsia="方正仿宋_GBK"/>
          <w:sz w:val="32"/>
          <w:szCs w:val="32"/>
        </w:rPr>
      </w:pPr>
      <w:r>
        <w:rPr>
          <w:rFonts w:hint="eastAsia" w:hAnsi="方正仿宋_GBK" w:eastAsia="方正仿宋_GBK"/>
          <w:sz w:val="32"/>
          <w:szCs w:val="32"/>
        </w:rPr>
        <w:t>（九）在规范技工院校资助管理方面，明确</w:t>
      </w:r>
      <w:r>
        <w:rPr>
          <w:rFonts w:hAnsi="方正仿宋_GBK" w:eastAsia="方正仿宋_GBK"/>
          <w:sz w:val="32"/>
          <w:szCs w:val="32"/>
        </w:rPr>
        <w:t>技工院校</w:t>
      </w:r>
      <w:r>
        <w:rPr>
          <w:rFonts w:hint="eastAsia" w:hAnsi="方正仿宋_GBK" w:eastAsia="方正仿宋_GBK"/>
          <w:sz w:val="32"/>
          <w:szCs w:val="32"/>
        </w:rPr>
        <w:t>落实管理责任，</w:t>
      </w:r>
      <w:r>
        <w:rPr>
          <w:rFonts w:hAnsi="方正仿宋_GBK" w:eastAsia="方正仿宋_GBK"/>
          <w:sz w:val="32"/>
          <w:szCs w:val="32"/>
        </w:rPr>
        <w:t>依法依规开展学生免学费资助和助学金申报、申领、发放工作</w:t>
      </w:r>
      <w:r>
        <w:rPr>
          <w:rFonts w:hint="eastAsia" w:hAnsi="方正仿宋_GBK" w:eastAsia="方正仿宋_GBK"/>
          <w:sz w:val="32"/>
          <w:szCs w:val="32"/>
        </w:rPr>
        <w:t>。涉及</w:t>
      </w:r>
      <w:r>
        <w:rPr>
          <w:rFonts w:hAnsi="方正仿宋_GBK" w:eastAsia="方正仿宋_GBK"/>
          <w:sz w:val="32"/>
          <w:szCs w:val="32"/>
        </w:rPr>
        <w:t>学生免学费、助学金、奖学金以及</w:t>
      </w:r>
      <w:r>
        <w:rPr>
          <w:rFonts w:hint="eastAsia" w:hAnsi="方正仿宋_GBK" w:eastAsia="方正仿宋_GBK"/>
          <w:sz w:val="32"/>
          <w:szCs w:val="32"/>
        </w:rPr>
        <w:t>其他政府补助经费项目</w:t>
      </w:r>
      <w:r>
        <w:rPr>
          <w:rFonts w:hAnsi="方正仿宋_GBK" w:eastAsia="方正仿宋_GBK"/>
          <w:sz w:val="32"/>
          <w:szCs w:val="32"/>
        </w:rPr>
        <w:t>资金</w:t>
      </w:r>
      <w:r>
        <w:rPr>
          <w:rFonts w:hint="eastAsia" w:hAnsi="方正仿宋_GBK" w:eastAsia="方正仿宋_GBK"/>
          <w:sz w:val="32"/>
          <w:szCs w:val="32"/>
        </w:rPr>
        <w:t>的</w:t>
      </w:r>
      <w:r>
        <w:rPr>
          <w:rFonts w:hAnsi="方正仿宋_GBK" w:eastAsia="方正仿宋_GBK"/>
          <w:sz w:val="32"/>
          <w:szCs w:val="32"/>
        </w:rPr>
        <w:t>，技工院校</w:t>
      </w:r>
      <w:r>
        <w:rPr>
          <w:rFonts w:hint="eastAsia" w:hAnsi="方正仿宋_GBK" w:eastAsia="方正仿宋_GBK"/>
          <w:sz w:val="32"/>
          <w:szCs w:val="32"/>
        </w:rPr>
        <w:t>应</w:t>
      </w:r>
      <w:r>
        <w:rPr>
          <w:rFonts w:hAnsi="方正仿宋_GBK" w:eastAsia="方正仿宋_GBK"/>
          <w:sz w:val="32"/>
          <w:szCs w:val="32"/>
        </w:rPr>
        <w:t>主动接受财政、审计、监察部门检查和社会监督。</w:t>
      </w:r>
    </w:p>
    <w:p>
      <w:pPr>
        <w:widowControl/>
        <w:spacing w:line="560" w:lineRule="exact"/>
        <w:ind w:firstLine="630"/>
        <w:rPr>
          <w:rFonts w:hAnsi="方正仿宋_GBK" w:eastAsia="方正仿宋_GBK"/>
          <w:kern w:val="0"/>
          <w:sz w:val="32"/>
          <w:szCs w:val="32"/>
        </w:rPr>
      </w:pPr>
      <w:r>
        <w:rPr>
          <w:rFonts w:hint="eastAsia" w:hAnsi="方正仿宋_GBK" w:eastAsia="方正仿宋_GBK"/>
          <w:kern w:val="0"/>
          <w:sz w:val="32"/>
          <w:szCs w:val="32"/>
        </w:rPr>
        <w:t>（十）在加强技工院校评估督导方面，明确将动态修订完善技工院校评估标准，加强对技工院校规范办学全过程监管；对评估等次为不合格的或存在重大安全稳定隐患的，将约谈学校主要负责人并责令其限期整改，并视情削减其招生计划或取消其招生资质；对不符合技工院校设置标准要求的，按规定调整其办学层次；技工院校在办学过程中出现违法违规行为的，将依据职业教育法、民办教育促进法等法律法规，加大惩治力度。</w:t>
      </w:r>
    </w:p>
    <w:sectPr>
      <w:footerReference r:id="rId3" w:type="default"/>
      <w:footerReference r:id="rId4" w:type="even"/>
      <w:pgSz w:w="11906" w:h="16838"/>
      <w:pgMar w:top="2098" w:right="1474" w:bottom="1984" w:left="1587" w:header="851" w:footer="1587" w:gutter="0"/>
      <w:pgNumType w:fmt="numberInDash"/>
      <w:cols w:space="720"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仿宋S"/>
    <w:panose1 w:val="00000000000000000000"/>
    <w:charset w:val="00"/>
    <w:family w:val="auto"/>
    <w:pitch w:val="default"/>
    <w:sig w:usb0="00000000" w:usb1="00000000" w:usb2="00000016" w:usb3="00000000" w:csb0="0004000F"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汉仪仿宋S">
    <w:panose1 w:val="00020600040101000101"/>
    <w:charset w:val="86"/>
    <w:family w:val="auto"/>
    <w:pitch w:val="default"/>
    <w:sig w:usb0="A00002BF" w:usb1="38CF7CFA"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EAE871"/>
    <w:multiLevelType w:val="singleLevel"/>
    <w:tmpl w:val="D7EAE87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trackRevisions w:val="true"/>
  <w:documentProtection w:enforcement="0"/>
  <w:defaultTabStop w:val="420"/>
  <w:evenAndOddHeaders w:val="true"/>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QyMWIwYTk0ZDQwNDQzM2IyNWMxMjBmMjM1ZTVjMzAifQ=="/>
  </w:docVars>
  <w:rsids>
    <w:rsidRoot w:val="00C56564"/>
    <w:rsid w:val="000025CF"/>
    <w:rsid w:val="000051B6"/>
    <w:rsid w:val="0000546F"/>
    <w:rsid w:val="0000707E"/>
    <w:rsid w:val="00016FEA"/>
    <w:rsid w:val="00022473"/>
    <w:rsid w:val="00024BF0"/>
    <w:rsid w:val="00026F71"/>
    <w:rsid w:val="00027FBD"/>
    <w:rsid w:val="00032384"/>
    <w:rsid w:val="00052FC0"/>
    <w:rsid w:val="0006106D"/>
    <w:rsid w:val="00061473"/>
    <w:rsid w:val="00081500"/>
    <w:rsid w:val="00092CD3"/>
    <w:rsid w:val="00095E3D"/>
    <w:rsid w:val="000B36E9"/>
    <w:rsid w:val="000B6EFF"/>
    <w:rsid w:val="000F3013"/>
    <w:rsid w:val="000F4550"/>
    <w:rsid w:val="0011118F"/>
    <w:rsid w:val="00122E0A"/>
    <w:rsid w:val="001236FE"/>
    <w:rsid w:val="00124E65"/>
    <w:rsid w:val="00131255"/>
    <w:rsid w:val="00142EA3"/>
    <w:rsid w:val="00146CEF"/>
    <w:rsid w:val="0015302C"/>
    <w:rsid w:val="00154A00"/>
    <w:rsid w:val="001559EE"/>
    <w:rsid w:val="001577E6"/>
    <w:rsid w:val="001609A4"/>
    <w:rsid w:val="001643A9"/>
    <w:rsid w:val="0018548E"/>
    <w:rsid w:val="001B37A3"/>
    <w:rsid w:val="001C2270"/>
    <w:rsid w:val="001D08F7"/>
    <w:rsid w:val="001D57C1"/>
    <w:rsid w:val="001F405D"/>
    <w:rsid w:val="00205E9C"/>
    <w:rsid w:val="00216F03"/>
    <w:rsid w:val="002321FE"/>
    <w:rsid w:val="002531AA"/>
    <w:rsid w:val="002B35FB"/>
    <w:rsid w:val="002D0C18"/>
    <w:rsid w:val="002D69B0"/>
    <w:rsid w:val="002E230F"/>
    <w:rsid w:val="002E3276"/>
    <w:rsid w:val="002E4D66"/>
    <w:rsid w:val="002F2583"/>
    <w:rsid w:val="00317C88"/>
    <w:rsid w:val="0035414B"/>
    <w:rsid w:val="00361326"/>
    <w:rsid w:val="00371E08"/>
    <w:rsid w:val="00373D6D"/>
    <w:rsid w:val="003743BC"/>
    <w:rsid w:val="003859C0"/>
    <w:rsid w:val="003B5261"/>
    <w:rsid w:val="003F440F"/>
    <w:rsid w:val="003F5386"/>
    <w:rsid w:val="003F67BF"/>
    <w:rsid w:val="00400B6B"/>
    <w:rsid w:val="00401E89"/>
    <w:rsid w:val="00415D44"/>
    <w:rsid w:val="00422588"/>
    <w:rsid w:val="00480B25"/>
    <w:rsid w:val="00493EC0"/>
    <w:rsid w:val="00494EE7"/>
    <w:rsid w:val="00497B1E"/>
    <w:rsid w:val="004A665A"/>
    <w:rsid w:val="004B5AD9"/>
    <w:rsid w:val="004F75F9"/>
    <w:rsid w:val="00502C6F"/>
    <w:rsid w:val="005056ED"/>
    <w:rsid w:val="00512AC8"/>
    <w:rsid w:val="00514884"/>
    <w:rsid w:val="00517085"/>
    <w:rsid w:val="00537677"/>
    <w:rsid w:val="0054492F"/>
    <w:rsid w:val="00546F84"/>
    <w:rsid w:val="0055134D"/>
    <w:rsid w:val="00553849"/>
    <w:rsid w:val="00575563"/>
    <w:rsid w:val="00587023"/>
    <w:rsid w:val="00591140"/>
    <w:rsid w:val="005A472D"/>
    <w:rsid w:val="005B6123"/>
    <w:rsid w:val="005D1944"/>
    <w:rsid w:val="005D5671"/>
    <w:rsid w:val="005E70EA"/>
    <w:rsid w:val="00603607"/>
    <w:rsid w:val="00604557"/>
    <w:rsid w:val="006149A0"/>
    <w:rsid w:val="006152C9"/>
    <w:rsid w:val="00616B14"/>
    <w:rsid w:val="00637E01"/>
    <w:rsid w:val="00650122"/>
    <w:rsid w:val="00657591"/>
    <w:rsid w:val="00667447"/>
    <w:rsid w:val="006773F5"/>
    <w:rsid w:val="00681174"/>
    <w:rsid w:val="00696444"/>
    <w:rsid w:val="006B4D77"/>
    <w:rsid w:val="006B4E47"/>
    <w:rsid w:val="006D3763"/>
    <w:rsid w:val="006D660E"/>
    <w:rsid w:val="006E0933"/>
    <w:rsid w:val="0070117C"/>
    <w:rsid w:val="00701CE3"/>
    <w:rsid w:val="00706822"/>
    <w:rsid w:val="00735316"/>
    <w:rsid w:val="00741DBF"/>
    <w:rsid w:val="0075633E"/>
    <w:rsid w:val="00756950"/>
    <w:rsid w:val="0076113D"/>
    <w:rsid w:val="00762049"/>
    <w:rsid w:val="00766B09"/>
    <w:rsid w:val="007C3AAB"/>
    <w:rsid w:val="007C7F60"/>
    <w:rsid w:val="007E54C0"/>
    <w:rsid w:val="007E7396"/>
    <w:rsid w:val="007F2303"/>
    <w:rsid w:val="00813289"/>
    <w:rsid w:val="00842EE6"/>
    <w:rsid w:val="008624D9"/>
    <w:rsid w:val="00871D90"/>
    <w:rsid w:val="0087696B"/>
    <w:rsid w:val="00892AAD"/>
    <w:rsid w:val="008A66EF"/>
    <w:rsid w:val="008C1CD9"/>
    <w:rsid w:val="008D3424"/>
    <w:rsid w:val="008E2D10"/>
    <w:rsid w:val="008F72F3"/>
    <w:rsid w:val="00907A1D"/>
    <w:rsid w:val="00915857"/>
    <w:rsid w:val="0091593F"/>
    <w:rsid w:val="00920F96"/>
    <w:rsid w:val="009264C3"/>
    <w:rsid w:val="00950F16"/>
    <w:rsid w:val="00980169"/>
    <w:rsid w:val="00990276"/>
    <w:rsid w:val="009A4160"/>
    <w:rsid w:val="009B1DB3"/>
    <w:rsid w:val="009C030F"/>
    <w:rsid w:val="009D398B"/>
    <w:rsid w:val="009E5F3A"/>
    <w:rsid w:val="009F0634"/>
    <w:rsid w:val="009F250E"/>
    <w:rsid w:val="00A16225"/>
    <w:rsid w:val="00A167BE"/>
    <w:rsid w:val="00A16A5A"/>
    <w:rsid w:val="00A17B90"/>
    <w:rsid w:val="00A401B4"/>
    <w:rsid w:val="00A402D8"/>
    <w:rsid w:val="00A4565A"/>
    <w:rsid w:val="00A66C74"/>
    <w:rsid w:val="00A66DF4"/>
    <w:rsid w:val="00A86D88"/>
    <w:rsid w:val="00A87F4E"/>
    <w:rsid w:val="00A90C4C"/>
    <w:rsid w:val="00A95AD4"/>
    <w:rsid w:val="00AE0BDA"/>
    <w:rsid w:val="00B16E38"/>
    <w:rsid w:val="00B415FB"/>
    <w:rsid w:val="00B525B9"/>
    <w:rsid w:val="00B53F97"/>
    <w:rsid w:val="00B75D46"/>
    <w:rsid w:val="00B81CEE"/>
    <w:rsid w:val="00B879DD"/>
    <w:rsid w:val="00BD4A39"/>
    <w:rsid w:val="00BE77D3"/>
    <w:rsid w:val="00C043F8"/>
    <w:rsid w:val="00C26D2C"/>
    <w:rsid w:val="00C3699F"/>
    <w:rsid w:val="00C56564"/>
    <w:rsid w:val="00C72488"/>
    <w:rsid w:val="00C803F7"/>
    <w:rsid w:val="00C91ECF"/>
    <w:rsid w:val="00CD7AA0"/>
    <w:rsid w:val="00CD7B29"/>
    <w:rsid w:val="00CE0EAA"/>
    <w:rsid w:val="00CE1518"/>
    <w:rsid w:val="00CE50C5"/>
    <w:rsid w:val="00CE6A40"/>
    <w:rsid w:val="00D1350F"/>
    <w:rsid w:val="00D14B62"/>
    <w:rsid w:val="00D20E96"/>
    <w:rsid w:val="00D33AAE"/>
    <w:rsid w:val="00D4669B"/>
    <w:rsid w:val="00D477EF"/>
    <w:rsid w:val="00D509BB"/>
    <w:rsid w:val="00D523F0"/>
    <w:rsid w:val="00D955CD"/>
    <w:rsid w:val="00D96086"/>
    <w:rsid w:val="00DA25F4"/>
    <w:rsid w:val="00DC20B2"/>
    <w:rsid w:val="00DE74BF"/>
    <w:rsid w:val="00E140D0"/>
    <w:rsid w:val="00E145A7"/>
    <w:rsid w:val="00E2029A"/>
    <w:rsid w:val="00E267DC"/>
    <w:rsid w:val="00E3063E"/>
    <w:rsid w:val="00E60520"/>
    <w:rsid w:val="00E662B3"/>
    <w:rsid w:val="00E7475D"/>
    <w:rsid w:val="00E77A23"/>
    <w:rsid w:val="00E80D78"/>
    <w:rsid w:val="00E9407C"/>
    <w:rsid w:val="00EA7D54"/>
    <w:rsid w:val="00EF2947"/>
    <w:rsid w:val="00F04041"/>
    <w:rsid w:val="00F103C1"/>
    <w:rsid w:val="00F20B27"/>
    <w:rsid w:val="00F240F8"/>
    <w:rsid w:val="00F43E65"/>
    <w:rsid w:val="00F61635"/>
    <w:rsid w:val="00F870EE"/>
    <w:rsid w:val="00FB1930"/>
    <w:rsid w:val="00FD3675"/>
    <w:rsid w:val="00FD7C2B"/>
    <w:rsid w:val="047F1C9C"/>
    <w:rsid w:val="0936559D"/>
    <w:rsid w:val="136D1DCE"/>
    <w:rsid w:val="177F67B8"/>
    <w:rsid w:val="1C262CB9"/>
    <w:rsid w:val="1EAFC854"/>
    <w:rsid w:val="2B7D59D5"/>
    <w:rsid w:val="2BAE1F81"/>
    <w:rsid w:val="2BC70BFC"/>
    <w:rsid w:val="2CE73447"/>
    <w:rsid w:val="2E186971"/>
    <w:rsid w:val="39DB4D3F"/>
    <w:rsid w:val="3DD757CB"/>
    <w:rsid w:val="3FFD201F"/>
    <w:rsid w:val="505A1CA8"/>
    <w:rsid w:val="52C7B747"/>
    <w:rsid w:val="53E7DDA7"/>
    <w:rsid w:val="541A3FE0"/>
    <w:rsid w:val="57917D4C"/>
    <w:rsid w:val="5AFFE308"/>
    <w:rsid w:val="5D1C093F"/>
    <w:rsid w:val="5DA8242D"/>
    <w:rsid w:val="5EBFF420"/>
    <w:rsid w:val="62E12B4B"/>
    <w:rsid w:val="67FF82F8"/>
    <w:rsid w:val="6887DEB9"/>
    <w:rsid w:val="756C4FDC"/>
    <w:rsid w:val="77976004"/>
    <w:rsid w:val="77EAA3E6"/>
    <w:rsid w:val="77FA8F11"/>
    <w:rsid w:val="796B1173"/>
    <w:rsid w:val="7B3B43FD"/>
    <w:rsid w:val="7BFFC314"/>
    <w:rsid w:val="7DBBB9EB"/>
    <w:rsid w:val="7DFBA744"/>
    <w:rsid w:val="7E7F7693"/>
    <w:rsid w:val="7F1F7C94"/>
    <w:rsid w:val="7F9ED4A4"/>
    <w:rsid w:val="7FBFA8A6"/>
    <w:rsid w:val="7FFDDB74"/>
    <w:rsid w:val="BA7B23C6"/>
    <w:rsid w:val="BFF7460A"/>
    <w:rsid w:val="DBD81FA5"/>
    <w:rsid w:val="DF6BF1FA"/>
    <w:rsid w:val="DF7D1B67"/>
    <w:rsid w:val="DFEDA787"/>
    <w:rsid w:val="E2E777B4"/>
    <w:rsid w:val="E7B74DFF"/>
    <w:rsid w:val="E7FFD13A"/>
    <w:rsid w:val="EA3DEDB4"/>
    <w:rsid w:val="EC9FC701"/>
    <w:rsid w:val="EF9713CC"/>
    <w:rsid w:val="EFDC32E6"/>
    <w:rsid w:val="EFF7F505"/>
    <w:rsid w:val="EFFF9A02"/>
    <w:rsid w:val="F5772317"/>
    <w:rsid w:val="F7B704F3"/>
    <w:rsid w:val="FA1FEFC8"/>
    <w:rsid w:val="FBEF6D6A"/>
    <w:rsid w:val="FCDF0C57"/>
    <w:rsid w:val="FE6F227E"/>
    <w:rsid w:val="FE9BB266"/>
    <w:rsid w:val="FEFE48ED"/>
    <w:rsid w:val="FF3EE188"/>
    <w:rsid w:val="FF5F3519"/>
    <w:rsid w:val="FFE619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5"/>
    <w:basedOn w:val="1"/>
    <w:next w:val="1"/>
    <w:link w:val="18"/>
    <w:qFormat/>
    <w:uiPriority w:val="9"/>
    <w:pPr>
      <w:keepNext/>
      <w:keepLines/>
      <w:spacing w:before="280" w:after="290" w:line="376" w:lineRule="auto"/>
      <w:outlineLvl w:val="4"/>
    </w:pPr>
    <w:rPr>
      <w:rFonts w:ascii="等线" w:hAnsi="等线" w:eastAsia="等线"/>
      <w:b/>
      <w:bCs/>
      <w:sz w:val="28"/>
      <w:szCs w:val="2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qFormat/>
    <w:uiPriority w:val="0"/>
    <w:pPr>
      <w:snapToGrid w:val="0"/>
      <w:jc w:val="left"/>
    </w:pPr>
    <w:rPr>
      <w:rFonts w:ascii="Calibri" w:hAnsi="Calibri"/>
    </w:rPr>
  </w:style>
  <w:style w:type="paragraph" w:styleId="7">
    <w:name w:val="Normal (Web)"/>
    <w:basedOn w:val="1"/>
    <w:qFormat/>
    <w:uiPriority w:val="99"/>
    <w:pPr>
      <w:spacing w:before="100" w:beforeAutospacing="1" w:after="100" w:afterAutospacing="1"/>
      <w:jc w:val="left"/>
    </w:pPr>
    <w:rPr>
      <w:kern w:val="0"/>
      <w:sz w:val="24"/>
      <w:szCs w:val="24"/>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qFormat/>
    <w:uiPriority w:val="0"/>
  </w:style>
  <w:style w:type="character" w:styleId="12">
    <w:name w:val="Hyperlink"/>
    <w:unhideWhenUsed/>
    <w:qFormat/>
    <w:uiPriority w:val="0"/>
    <w:rPr>
      <w:color w:val="0000FF"/>
      <w:u w:val="single"/>
    </w:rPr>
  </w:style>
  <w:style w:type="character" w:customStyle="1" w:styleId="13">
    <w:name w:val="批注框文本 Char"/>
    <w:link w:val="3"/>
    <w:semiHidden/>
    <w:qFormat/>
    <w:uiPriority w:val="99"/>
    <w:rPr>
      <w:sz w:val="18"/>
      <w:szCs w:val="18"/>
    </w:rPr>
  </w:style>
  <w:style w:type="character" w:customStyle="1" w:styleId="14">
    <w:name w:val="页脚 Char"/>
    <w:link w:val="4"/>
    <w:qFormat/>
    <w:uiPriority w:val="99"/>
    <w:rPr>
      <w:sz w:val="18"/>
      <w:szCs w:val="18"/>
    </w:rPr>
  </w:style>
  <w:style w:type="character" w:customStyle="1" w:styleId="15">
    <w:name w:val="页眉 Char"/>
    <w:link w:val="5"/>
    <w:qFormat/>
    <w:uiPriority w:val="99"/>
    <w:rPr>
      <w:sz w:val="18"/>
      <w:szCs w:val="18"/>
    </w:rPr>
  </w:style>
  <w:style w:type="character" w:customStyle="1" w:styleId="16">
    <w:name w:val="页脚 Char1"/>
    <w:qFormat/>
    <w:uiPriority w:val="99"/>
    <w:rPr>
      <w:kern w:val="2"/>
      <w:sz w:val="18"/>
      <w:szCs w:val="18"/>
    </w:rPr>
  </w:style>
  <w:style w:type="paragraph" w:styleId="17">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8">
    <w:name w:val="标题 5 Char"/>
    <w:basedOn w:val="10"/>
    <w:link w:val="2"/>
    <w:qFormat/>
    <w:uiPriority w:val="9"/>
    <w:rPr>
      <w:rFonts w:ascii="等线" w:hAnsi="等线" w:eastAsia="等线"/>
      <w:b/>
      <w:bCs/>
      <w:kern w:val="2"/>
      <w:sz w:val="28"/>
      <w:szCs w:val="28"/>
    </w:rPr>
  </w:style>
  <w:style w:type="character" w:customStyle="1" w:styleId="19">
    <w:name w:val="bjh-p"/>
    <w:qFormat/>
    <w:uiPriority w:val="0"/>
  </w:style>
  <w:style w:type="character" w:customStyle="1" w:styleId="20">
    <w:name w:val="NormalCharacter"/>
    <w:qFormat/>
    <w:uiPriority w:val="0"/>
    <w:rPr>
      <w:rFonts w:asciiTheme="minorHAnsi" w:hAnsiTheme="minorHAnsi" w:eastAsiaTheme="minorEastAsia" w:cstheme="minorBidi"/>
      <w:kern w:val="2"/>
      <w:sz w:val="21"/>
      <w:szCs w:val="24"/>
      <w:lang w:val="en-US" w:eastAsia="zh-CN" w:bidi="ar-SA"/>
    </w:rPr>
  </w:style>
  <w:style w:type="paragraph" w:styleId="21">
    <w:name w:val="List Paragraph"/>
    <w:basedOn w:val="1"/>
    <w:qFormat/>
    <w:uiPriority w:val="34"/>
    <w:pPr>
      <w:ind w:firstLine="420" w:firstLineChars="200"/>
    </w:pPr>
    <w:rPr>
      <w:rFonts w:ascii="等线" w:hAnsi="等线" w:eastAsia="等线"/>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328</Words>
  <Characters>1873</Characters>
  <Lines>15</Lines>
  <Paragraphs>4</Paragraphs>
  <TotalTime>102</TotalTime>
  <ScaleCrop>false</ScaleCrop>
  <LinksUpToDate>false</LinksUpToDate>
  <CharactersWithSpaces>2197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2024-06-20T08:50:00Z</dcterms:created>
  <dc:creator>pic</dc:creator>
  <cp:lastModifiedBy>user</cp:lastModifiedBy>
  <cp:lastPrinted>2024-03-30T06:06:00Z</cp:lastPrinted>
  <dcterms:modified xsi:type="dcterms:W3CDTF">2024-06-21T08:53:57Z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3F9CD4E9846549058626D269F34E4E5F</vt:lpwstr>
  </property>
</Properties>
</file>